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09E5" w14:textId="17CA4868" w:rsidR="00A225F2" w:rsidRPr="003C2856" w:rsidRDefault="007B0142" w:rsidP="0009549B">
      <w:pPr>
        <w:pStyle w:val="Heading1"/>
        <w:spacing w:before="0" w:after="60" w:line="240" w:lineRule="auto"/>
        <w:jc w:val="center"/>
        <w:rPr>
          <w:rFonts w:asciiTheme="minorHAnsi" w:hAnsiTheme="minorHAnsi" w:cstheme="minorHAnsi"/>
          <w:sz w:val="20"/>
          <w:szCs w:val="20"/>
        </w:rPr>
      </w:pPr>
      <w:r w:rsidRPr="003C2856">
        <w:rPr>
          <w:rFonts w:asciiTheme="minorHAnsi" w:hAnsiTheme="minorHAnsi" w:cstheme="minorHAnsi"/>
          <w:sz w:val="20"/>
          <w:szCs w:val="20"/>
        </w:rPr>
        <w:t>All Party Parliamentary Group on Apprenticeships call for evidence</w:t>
      </w:r>
    </w:p>
    <w:p w14:paraId="2926A490" w14:textId="1EA13E5F" w:rsidR="000A6F96" w:rsidRPr="003C2856" w:rsidRDefault="008444CB" w:rsidP="0009549B">
      <w:pPr>
        <w:spacing w:after="60" w:line="240" w:lineRule="auto"/>
        <w:rPr>
          <w:rFonts w:cstheme="minorHAnsi"/>
          <w:bCs/>
          <w:iCs/>
          <w:sz w:val="20"/>
          <w:szCs w:val="20"/>
        </w:rPr>
      </w:pPr>
      <w:r w:rsidRPr="003C2856">
        <w:rPr>
          <w:rFonts w:cstheme="minorHAnsi"/>
          <w:sz w:val="20"/>
          <w:szCs w:val="20"/>
        </w:rPr>
        <w:t xml:space="preserve">Education and Employers welcomes this opportunity to contribute to the debate about </w:t>
      </w:r>
      <w:r w:rsidR="00994770" w:rsidRPr="003C2856">
        <w:rPr>
          <w:rFonts w:cstheme="minorHAnsi"/>
          <w:sz w:val="20"/>
          <w:szCs w:val="20"/>
        </w:rPr>
        <w:t>apprenticeships</w:t>
      </w:r>
      <w:r w:rsidRPr="003C2856">
        <w:rPr>
          <w:rFonts w:cstheme="minorHAnsi"/>
          <w:sz w:val="20"/>
          <w:szCs w:val="20"/>
        </w:rPr>
        <w:t>.</w:t>
      </w:r>
      <w:r w:rsidR="00856E6E" w:rsidRPr="003C2856">
        <w:rPr>
          <w:rFonts w:cstheme="minorHAnsi"/>
          <w:bCs/>
          <w:iCs/>
          <w:sz w:val="20"/>
          <w:szCs w:val="20"/>
        </w:rPr>
        <w:t xml:space="preserve"> </w:t>
      </w:r>
      <w:r w:rsidR="00826AA6" w:rsidRPr="003C2856">
        <w:rPr>
          <w:rFonts w:cstheme="minorHAnsi"/>
          <w:bCs/>
          <w:iCs/>
          <w:sz w:val="20"/>
          <w:szCs w:val="20"/>
        </w:rPr>
        <w:t xml:space="preserve">We have substantial research expertise </w:t>
      </w:r>
      <w:r w:rsidR="00B5488B" w:rsidRPr="003C2856">
        <w:rPr>
          <w:rFonts w:cstheme="minorHAnsi"/>
          <w:bCs/>
          <w:iCs/>
          <w:sz w:val="20"/>
          <w:szCs w:val="20"/>
        </w:rPr>
        <w:t xml:space="preserve">on </w:t>
      </w:r>
      <w:r w:rsidR="00831E76">
        <w:rPr>
          <w:rFonts w:cstheme="minorHAnsi"/>
          <w:bCs/>
          <w:iCs/>
          <w:sz w:val="20"/>
          <w:szCs w:val="20"/>
        </w:rPr>
        <w:t xml:space="preserve">many areas of employer engagement, including </w:t>
      </w:r>
      <w:r w:rsidR="000205EE" w:rsidRPr="003C2856">
        <w:rPr>
          <w:rFonts w:cstheme="minorHAnsi"/>
          <w:bCs/>
          <w:iCs/>
          <w:sz w:val="20"/>
          <w:szCs w:val="20"/>
        </w:rPr>
        <w:t>apprenticeships</w:t>
      </w:r>
      <w:r w:rsidR="00331632" w:rsidRPr="003C2856">
        <w:rPr>
          <w:rFonts w:cstheme="minorHAnsi"/>
          <w:bCs/>
          <w:iCs/>
          <w:sz w:val="20"/>
          <w:szCs w:val="20"/>
        </w:rPr>
        <w:t xml:space="preserve">. </w:t>
      </w:r>
      <w:r w:rsidR="00441DE3" w:rsidRPr="003C2856">
        <w:rPr>
          <w:rFonts w:cstheme="minorHAnsi"/>
          <w:bCs/>
          <w:iCs/>
          <w:sz w:val="20"/>
          <w:szCs w:val="20"/>
        </w:rPr>
        <w:t>O</w:t>
      </w:r>
      <w:r w:rsidR="009E1D24" w:rsidRPr="003C2856">
        <w:rPr>
          <w:rFonts w:cstheme="minorHAnsi"/>
          <w:bCs/>
          <w:iCs/>
          <w:sz w:val="20"/>
          <w:szCs w:val="20"/>
        </w:rPr>
        <w:t>ur programmes</w:t>
      </w:r>
      <w:r w:rsidR="00441DE3" w:rsidRPr="003C2856">
        <w:rPr>
          <w:rFonts w:cstheme="minorHAnsi"/>
          <w:bCs/>
          <w:iCs/>
          <w:sz w:val="20"/>
          <w:szCs w:val="20"/>
        </w:rPr>
        <w:t xml:space="preserve"> </w:t>
      </w:r>
      <w:r w:rsidR="00E405AB" w:rsidRPr="003C2856">
        <w:rPr>
          <w:rFonts w:cstheme="minorHAnsi"/>
          <w:bCs/>
          <w:iCs/>
          <w:sz w:val="20"/>
          <w:szCs w:val="20"/>
        </w:rPr>
        <w:t xml:space="preserve">such as Inspiring the Future </w:t>
      </w:r>
      <w:r w:rsidR="00441DE3" w:rsidRPr="003C2856">
        <w:rPr>
          <w:rFonts w:cstheme="minorHAnsi"/>
          <w:bCs/>
          <w:iCs/>
          <w:sz w:val="20"/>
          <w:szCs w:val="20"/>
        </w:rPr>
        <w:t>allow</w:t>
      </w:r>
      <w:r w:rsidR="00EF7CA3" w:rsidRPr="003C2856">
        <w:rPr>
          <w:rFonts w:cstheme="minorHAnsi"/>
          <w:bCs/>
          <w:iCs/>
          <w:sz w:val="20"/>
          <w:szCs w:val="20"/>
        </w:rPr>
        <w:t xml:space="preserve"> </w:t>
      </w:r>
      <w:r w:rsidR="000A6F96" w:rsidRPr="003C2856">
        <w:rPr>
          <w:rFonts w:cstheme="minorHAnsi"/>
          <w:bCs/>
          <w:iCs/>
          <w:sz w:val="20"/>
          <w:szCs w:val="20"/>
        </w:rPr>
        <w:t xml:space="preserve">schools and volunteers </w:t>
      </w:r>
      <w:r w:rsidR="00441DE3" w:rsidRPr="003C2856">
        <w:rPr>
          <w:rFonts w:cstheme="minorHAnsi"/>
          <w:bCs/>
          <w:iCs/>
          <w:sz w:val="20"/>
          <w:szCs w:val="20"/>
        </w:rPr>
        <w:t xml:space="preserve">to </w:t>
      </w:r>
      <w:r w:rsidR="002242A6">
        <w:rPr>
          <w:rFonts w:cstheme="minorHAnsi"/>
          <w:bCs/>
          <w:iCs/>
          <w:sz w:val="20"/>
          <w:szCs w:val="20"/>
        </w:rPr>
        <w:t>play a vital role in</w:t>
      </w:r>
      <w:r w:rsidR="000A6F96" w:rsidRPr="003C2856">
        <w:rPr>
          <w:rFonts w:cstheme="minorHAnsi"/>
          <w:bCs/>
          <w:iCs/>
          <w:sz w:val="20"/>
          <w:szCs w:val="20"/>
        </w:rPr>
        <w:t xml:space="preserve"> </w:t>
      </w:r>
      <w:r w:rsidR="00826AA6" w:rsidRPr="003C2856">
        <w:rPr>
          <w:rFonts w:cstheme="minorHAnsi"/>
          <w:bCs/>
          <w:iCs/>
          <w:sz w:val="20"/>
          <w:szCs w:val="20"/>
        </w:rPr>
        <w:t>introduc</w:t>
      </w:r>
      <w:r w:rsidR="002242A6">
        <w:rPr>
          <w:rFonts w:cstheme="minorHAnsi"/>
          <w:bCs/>
          <w:iCs/>
          <w:sz w:val="20"/>
          <w:szCs w:val="20"/>
        </w:rPr>
        <w:t>ing</w:t>
      </w:r>
      <w:r w:rsidR="00826AA6" w:rsidRPr="003C2856">
        <w:rPr>
          <w:rFonts w:cstheme="minorHAnsi"/>
          <w:bCs/>
          <w:iCs/>
          <w:sz w:val="20"/>
          <w:szCs w:val="20"/>
        </w:rPr>
        <w:t xml:space="preserve"> young people to the world of work</w:t>
      </w:r>
      <w:r w:rsidR="008A330C">
        <w:rPr>
          <w:rFonts w:cstheme="minorHAnsi"/>
          <w:bCs/>
          <w:iCs/>
          <w:sz w:val="20"/>
          <w:szCs w:val="20"/>
        </w:rPr>
        <w:t xml:space="preserve"> and giving them a better understanding of the options open to them. </w:t>
      </w:r>
      <w:r w:rsidR="00F12EFD">
        <w:rPr>
          <w:rFonts w:cstheme="minorHAnsi"/>
          <w:bCs/>
          <w:iCs/>
          <w:sz w:val="20"/>
          <w:szCs w:val="20"/>
        </w:rPr>
        <w:t>P</w:t>
      </w:r>
      <w:r w:rsidR="00B158CC">
        <w:rPr>
          <w:rFonts w:cstheme="minorHAnsi"/>
          <w:bCs/>
          <w:iCs/>
          <w:sz w:val="20"/>
          <w:szCs w:val="20"/>
        </w:rPr>
        <w:t xml:space="preserve">rogrammes such as these </w:t>
      </w:r>
      <w:r w:rsidR="00F12EFD">
        <w:rPr>
          <w:rFonts w:cstheme="minorHAnsi"/>
          <w:bCs/>
          <w:iCs/>
          <w:sz w:val="20"/>
          <w:szCs w:val="20"/>
        </w:rPr>
        <w:t xml:space="preserve">allow </w:t>
      </w:r>
      <w:r w:rsidR="002D030D">
        <w:rPr>
          <w:rFonts w:cstheme="minorHAnsi"/>
          <w:bCs/>
          <w:iCs/>
          <w:sz w:val="20"/>
          <w:szCs w:val="20"/>
        </w:rPr>
        <w:t>employe</w:t>
      </w:r>
      <w:r w:rsidR="00F12EFD">
        <w:rPr>
          <w:rFonts w:cstheme="minorHAnsi"/>
          <w:bCs/>
          <w:iCs/>
          <w:sz w:val="20"/>
          <w:szCs w:val="20"/>
        </w:rPr>
        <w:t>e volunteers to play a vital role in making apprenticeships accessible and appealing to young people.</w:t>
      </w:r>
    </w:p>
    <w:p w14:paraId="17B93B61" w14:textId="305AAFBE" w:rsidR="005D7178" w:rsidRPr="003C2856" w:rsidRDefault="005D7178" w:rsidP="0009549B">
      <w:pPr>
        <w:spacing w:after="60" w:line="240" w:lineRule="auto"/>
        <w:rPr>
          <w:rFonts w:cstheme="minorHAnsi"/>
          <w:sz w:val="20"/>
          <w:szCs w:val="20"/>
        </w:rPr>
      </w:pPr>
      <w:r w:rsidRPr="003C2856">
        <w:rPr>
          <w:rFonts w:cstheme="minorHAnsi"/>
          <w:bCs/>
          <w:iCs/>
          <w:sz w:val="20"/>
          <w:szCs w:val="20"/>
        </w:rPr>
        <w:t>Education and Employers</w:t>
      </w:r>
      <w:r w:rsidR="00424F17">
        <w:rPr>
          <w:rFonts w:cstheme="minorHAnsi"/>
          <w:iCs/>
          <w:sz w:val="20"/>
          <w:szCs w:val="20"/>
        </w:rPr>
        <w:t xml:space="preserve"> </w:t>
      </w:r>
      <w:r w:rsidRPr="003C2856">
        <w:rPr>
          <w:rFonts w:cstheme="minorHAnsi"/>
          <w:sz w:val="20"/>
          <w:szCs w:val="20"/>
        </w:rPr>
        <w:t xml:space="preserve">is an independent charity launched in 2009 to </w:t>
      </w:r>
      <w:r w:rsidRPr="003C2856">
        <w:rPr>
          <w:rFonts w:cstheme="minorHAnsi"/>
          <w:bCs/>
          <w:iCs/>
          <w:sz w:val="20"/>
          <w:szCs w:val="20"/>
        </w:rPr>
        <w:t>provide children and young people with the inspiration, motivation, knowledge, skills and opportunities they need to help them achieve their potential.</w:t>
      </w:r>
      <w:r w:rsidRPr="003C2856">
        <w:rPr>
          <w:rFonts w:cstheme="minorHAnsi"/>
          <w:iCs/>
          <w:sz w:val="20"/>
          <w:szCs w:val="20"/>
        </w:rPr>
        <w:t xml:space="preserve"> </w:t>
      </w:r>
      <w:r w:rsidRPr="003C2856">
        <w:rPr>
          <w:rFonts w:cstheme="minorHAnsi"/>
          <w:sz w:val="20"/>
          <w:szCs w:val="20"/>
        </w:rPr>
        <w:t xml:space="preserve">We aim to achieve this by working with state schools, employers, the national bodies that represent them and other partners including the government and third sector organisations. Education and Employers undertakes high quality research on education and employer engagement that informs education policy and practice. We also collaborate with other leading research institutions and ensure that research produced by academics around the world </w:t>
      </w:r>
      <w:r w:rsidR="003E3301">
        <w:rPr>
          <w:rFonts w:cstheme="minorHAnsi"/>
          <w:sz w:val="20"/>
          <w:szCs w:val="20"/>
        </w:rPr>
        <w:t xml:space="preserve">is </w:t>
      </w:r>
      <w:r w:rsidRPr="003C2856">
        <w:rPr>
          <w:rFonts w:cstheme="minorHAnsi"/>
          <w:sz w:val="20"/>
          <w:szCs w:val="20"/>
        </w:rPr>
        <w:t>easily accessible to practitioners, employers and policy makers.</w:t>
      </w:r>
    </w:p>
    <w:p w14:paraId="547583D9" w14:textId="114C601A" w:rsidR="00515EAD" w:rsidRPr="003C2856" w:rsidRDefault="00ED698C" w:rsidP="0009549B">
      <w:pPr>
        <w:spacing w:after="60" w:line="240" w:lineRule="auto"/>
        <w:rPr>
          <w:rFonts w:cstheme="minorHAnsi"/>
          <w:sz w:val="20"/>
          <w:szCs w:val="20"/>
        </w:rPr>
      </w:pPr>
      <w:hyperlink r:id="rId8" w:history="1">
        <w:r w:rsidR="00515EAD" w:rsidRPr="003C2856">
          <w:rPr>
            <w:rStyle w:val="Hyperlink"/>
            <w:rFonts w:cstheme="minorHAnsi"/>
            <w:sz w:val="20"/>
            <w:szCs w:val="20"/>
          </w:rPr>
          <w:t>Our research</w:t>
        </w:r>
      </w:hyperlink>
      <w:r w:rsidR="00515EAD" w:rsidRPr="003C2856">
        <w:rPr>
          <w:rFonts w:cstheme="minorHAnsi"/>
          <w:sz w:val="20"/>
          <w:szCs w:val="20"/>
        </w:rPr>
        <w:t xml:space="preserve"> shows that too often young people do not get a chance to see all the options available to them. The effect is to stifle social mobility as young people </w:t>
      </w:r>
      <w:r w:rsidR="008A330C">
        <w:rPr>
          <w:rFonts w:cstheme="minorHAnsi"/>
          <w:sz w:val="20"/>
          <w:szCs w:val="20"/>
        </w:rPr>
        <w:t>often</w:t>
      </w:r>
      <w:r w:rsidR="00515EAD" w:rsidRPr="003C2856">
        <w:rPr>
          <w:rFonts w:cstheme="minorHAnsi"/>
          <w:sz w:val="20"/>
          <w:szCs w:val="20"/>
        </w:rPr>
        <w:t xml:space="preserve"> aspire to</w:t>
      </w:r>
      <w:r w:rsidR="004F044F">
        <w:rPr>
          <w:rFonts w:cstheme="minorHAnsi"/>
          <w:sz w:val="20"/>
          <w:szCs w:val="20"/>
        </w:rPr>
        <w:t xml:space="preserve"> the</w:t>
      </w:r>
      <w:r w:rsidR="00515EAD" w:rsidRPr="003C2856">
        <w:rPr>
          <w:rFonts w:cstheme="minorHAnsi"/>
          <w:sz w:val="20"/>
          <w:szCs w:val="20"/>
        </w:rPr>
        <w:t xml:space="preserve"> </w:t>
      </w:r>
      <w:proofErr w:type="gramStart"/>
      <w:r w:rsidR="00515EAD" w:rsidRPr="003C2856">
        <w:rPr>
          <w:rFonts w:cstheme="minorHAnsi"/>
          <w:sz w:val="20"/>
          <w:szCs w:val="20"/>
        </w:rPr>
        <w:t>jobs</w:t>
      </w:r>
      <w:proofErr w:type="gramEnd"/>
      <w:r w:rsidR="00515EAD" w:rsidRPr="003C2856">
        <w:rPr>
          <w:rFonts w:cstheme="minorHAnsi"/>
          <w:sz w:val="20"/>
          <w:szCs w:val="20"/>
        </w:rPr>
        <w:t xml:space="preserve"> they see around them, especially </w:t>
      </w:r>
      <w:r w:rsidR="006D183D" w:rsidRPr="003C2856">
        <w:rPr>
          <w:rFonts w:cstheme="minorHAnsi"/>
          <w:sz w:val="20"/>
          <w:szCs w:val="20"/>
        </w:rPr>
        <w:t xml:space="preserve">those done by </w:t>
      </w:r>
      <w:r w:rsidR="00515EAD" w:rsidRPr="003C2856">
        <w:rPr>
          <w:rFonts w:cstheme="minorHAnsi"/>
          <w:sz w:val="20"/>
          <w:szCs w:val="20"/>
        </w:rPr>
        <w:t>their family</w:t>
      </w:r>
      <w:r w:rsidR="008A330C">
        <w:rPr>
          <w:rFonts w:cstheme="minorHAnsi"/>
          <w:sz w:val="20"/>
          <w:szCs w:val="20"/>
        </w:rPr>
        <w:t xml:space="preserve"> and neighbours</w:t>
      </w:r>
      <w:r w:rsidR="00515EAD" w:rsidRPr="003C2856">
        <w:rPr>
          <w:rFonts w:cstheme="minorHAnsi"/>
          <w:sz w:val="20"/>
          <w:szCs w:val="20"/>
        </w:rPr>
        <w:t xml:space="preserve">. </w:t>
      </w:r>
      <w:r w:rsidR="00D118AB" w:rsidRPr="003C2856">
        <w:rPr>
          <w:rFonts w:cstheme="minorHAnsi"/>
          <w:sz w:val="20"/>
          <w:szCs w:val="20"/>
        </w:rPr>
        <w:t xml:space="preserve">This is the case for </w:t>
      </w:r>
      <w:r w:rsidR="00515EAD" w:rsidRPr="003C2856">
        <w:rPr>
          <w:rFonts w:cstheme="minorHAnsi"/>
          <w:sz w:val="20"/>
          <w:szCs w:val="20"/>
        </w:rPr>
        <w:t xml:space="preserve">children at both </w:t>
      </w:r>
      <w:hyperlink r:id="rId9" w:history="1">
        <w:r w:rsidR="00515EAD" w:rsidRPr="003C2856">
          <w:rPr>
            <w:rStyle w:val="Hyperlink"/>
            <w:rFonts w:cstheme="minorHAnsi"/>
            <w:sz w:val="20"/>
            <w:szCs w:val="20"/>
          </w:rPr>
          <w:t>primary</w:t>
        </w:r>
      </w:hyperlink>
      <w:r w:rsidR="00515EAD" w:rsidRPr="003C2856">
        <w:rPr>
          <w:rFonts w:cstheme="minorHAnsi"/>
          <w:sz w:val="20"/>
          <w:szCs w:val="20"/>
        </w:rPr>
        <w:t xml:space="preserve"> and </w:t>
      </w:r>
      <w:hyperlink r:id="rId10" w:history="1">
        <w:r w:rsidR="00515EAD" w:rsidRPr="003C2856">
          <w:rPr>
            <w:rStyle w:val="Hyperlink"/>
            <w:rFonts w:cstheme="minorHAnsi"/>
            <w:sz w:val="20"/>
            <w:szCs w:val="20"/>
          </w:rPr>
          <w:t>secondary</w:t>
        </w:r>
      </w:hyperlink>
      <w:r w:rsidR="00515EAD" w:rsidRPr="003C2856">
        <w:rPr>
          <w:rFonts w:cstheme="minorHAnsi"/>
          <w:sz w:val="20"/>
          <w:szCs w:val="20"/>
        </w:rPr>
        <w:t xml:space="preserve"> school. </w:t>
      </w:r>
      <w:r w:rsidR="00DE30E3" w:rsidRPr="003C2856">
        <w:rPr>
          <w:rFonts w:cstheme="minorHAnsi"/>
          <w:sz w:val="20"/>
          <w:szCs w:val="20"/>
        </w:rPr>
        <w:t xml:space="preserve">Not only are children’s aspirations </w:t>
      </w:r>
      <w:r w:rsidR="00B65004" w:rsidRPr="003C2856">
        <w:rPr>
          <w:rFonts w:cstheme="minorHAnsi"/>
          <w:sz w:val="20"/>
          <w:szCs w:val="20"/>
        </w:rPr>
        <w:t>limited</w:t>
      </w:r>
      <w:r w:rsidR="00DE30E3" w:rsidRPr="003C2856">
        <w:rPr>
          <w:rFonts w:cstheme="minorHAnsi"/>
          <w:sz w:val="20"/>
          <w:szCs w:val="20"/>
        </w:rPr>
        <w:t xml:space="preserve">, but they </w:t>
      </w:r>
      <w:r w:rsidR="00515EAD" w:rsidRPr="003C2856">
        <w:rPr>
          <w:rFonts w:cstheme="minorHAnsi"/>
          <w:sz w:val="20"/>
          <w:szCs w:val="20"/>
        </w:rPr>
        <w:t xml:space="preserve">are </w:t>
      </w:r>
      <w:hyperlink r:id="rId11" w:history="1">
        <w:r w:rsidR="00515EAD" w:rsidRPr="003C2856">
          <w:rPr>
            <w:rStyle w:val="Hyperlink"/>
            <w:rFonts w:cstheme="minorHAnsi"/>
            <w:sz w:val="20"/>
            <w:szCs w:val="20"/>
          </w:rPr>
          <w:t>disconnected</w:t>
        </w:r>
      </w:hyperlink>
      <w:r w:rsidR="00515EAD" w:rsidRPr="003C2856">
        <w:rPr>
          <w:rFonts w:cstheme="minorHAnsi"/>
          <w:sz w:val="20"/>
          <w:szCs w:val="20"/>
        </w:rPr>
        <w:t xml:space="preserve"> from </w:t>
      </w:r>
      <w:r w:rsidR="00240BC4">
        <w:rPr>
          <w:rFonts w:cstheme="minorHAnsi"/>
          <w:sz w:val="20"/>
          <w:szCs w:val="20"/>
        </w:rPr>
        <w:t xml:space="preserve">the </w:t>
      </w:r>
      <w:r w:rsidR="00E55A25" w:rsidRPr="003C2856">
        <w:rPr>
          <w:rFonts w:cstheme="minorHAnsi"/>
          <w:sz w:val="20"/>
          <w:szCs w:val="20"/>
        </w:rPr>
        <w:t xml:space="preserve">current and future </w:t>
      </w:r>
      <w:r w:rsidR="00515EAD" w:rsidRPr="003C2856">
        <w:rPr>
          <w:rFonts w:cstheme="minorHAnsi"/>
          <w:sz w:val="20"/>
          <w:szCs w:val="20"/>
        </w:rPr>
        <w:t>labour market</w:t>
      </w:r>
      <w:r w:rsidR="00240BC4">
        <w:rPr>
          <w:rFonts w:cstheme="minorHAnsi"/>
          <w:sz w:val="20"/>
          <w:szCs w:val="20"/>
        </w:rPr>
        <w:t>.</w:t>
      </w:r>
    </w:p>
    <w:p w14:paraId="5B73D429" w14:textId="1D1EE11D" w:rsidR="00515EAD" w:rsidRPr="003C2856" w:rsidRDefault="00515EAD" w:rsidP="0009549B">
      <w:pPr>
        <w:spacing w:after="60" w:line="240" w:lineRule="auto"/>
        <w:rPr>
          <w:rFonts w:cstheme="minorHAnsi"/>
          <w:sz w:val="20"/>
          <w:szCs w:val="20"/>
        </w:rPr>
      </w:pPr>
      <w:r w:rsidRPr="003C2856">
        <w:rPr>
          <w:rFonts w:cstheme="minorHAnsi"/>
          <w:sz w:val="20"/>
          <w:szCs w:val="20"/>
        </w:rPr>
        <w:t xml:space="preserve">The recent </w:t>
      </w:r>
      <w:r w:rsidR="00451EF0">
        <w:rPr>
          <w:rFonts w:cstheme="minorHAnsi"/>
          <w:sz w:val="20"/>
          <w:szCs w:val="20"/>
        </w:rPr>
        <w:t xml:space="preserve">discussion around </w:t>
      </w:r>
      <w:r w:rsidRPr="003C2856">
        <w:rPr>
          <w:rFonts w:cstheme="minorHAnsi"/>
          <w:sz w:val="20"/>
          <w:szCs w:val="20"/>
        </w:rPr>
        <w:t xml:space="preserve">apprenticeships is welcome because a strong apprenticeship system brings gains for both employers and employees, resulting in improvements in productivity, recruitment and the development of the skills needed for growth. </w:t>
      </w:r>
      <w:r w:rsidR="00E90800" w:rsidRPr="003C2856">
        <w:rPr>
          <w:rFonts w:cstheme="minorHAnsi"/>
          <w:sz w:val="20"/>
          <w:szCs w:val="20"/>
        </w:rPr>
        <w:t xml:space="preserve">The recent </w:t>
      </w:r>
      <w:r w:rsidRPr="003C2856">
        <w:rPr>
          <w:rFonts w:cstheme="minorHAnsi"/>
          <w:sz w:val="20"/>
          <w:szCs w:val="20"/>
        </w:rPr>
        <w:t>Social Mobility Commission</w:t>
      </w:r>
      <w:r w:rsidR="00E90800" w:rsidRPr="003C2856">
        <w:rPr>
          <w:rFonts w:cstheme="minorHAnsi"/>
          <w:sz w:val="20"/>
          <w:szCs w:val="20"/>
        </w:rPr>
        <w:t xml:space="preserve"> </w:t>
      </w:r>
      <w:r w:rsidRPr="003C2856">
        <w:rPr>
          <w:rFonts w:cstheme="minorHAnsi"/>
          <w:sz w:val="20"/>
          <w:szCs w:val="20"/>
        </w:rPr>
        <w:t>‘</w:t>
      </w:r>
      <w:hyperlink r:id="rId12" w:history="1">
        <w:r w:rsidRPr="003C2856">
          <w:rPr>
            <w:rStyle w:val="Hyperlink"/>
            <w:rFonts w:cstheme="minorHAnsi"/>
            <w:sz w:val="20"/>
            <w:szCs w:val="20"/>
          </w:rPr>
          <w:t>Apprenticeships and social mobility</w:t>
        </w:r>
      </w:hyperlink>
      <w:r w:rsidRPr="003C2856">
        <w:rPr>
          <w:rFonts w:cstheme="minorHAnsi"/>
          <w:sz w:val="20"/>
          <w:szCs w:val="20"/>
        </w:rPr>
        <w:t xml:space="preserve">’ report highlights the role of apprenticeships as “a ladder of social mobility”. The Commission’s Joint Deputy Chair </w:t>
      </w:r>
      <w:hyperlink r:id="rId13" w:history="1">
        <w:r w:rsidR="00936906" w:rsidRPr="003C2856">
          <w:rPr>
            <w:rStyle w:val="Hyperlink"/>
            <w:rFonts w:cstheme="minorHAnsi"/>
            <w:sz w:val="20"/>
            <w:szCs w:val="20"/>
          </w:rPr>
          <w:t>identified</w:t>
        </w:r>
      </w:hyperlink>
      <w:r w:rsidR="00936906" w:rsidRPr="003C2856">
        <w:rPr>
          <w:rFonts w:cstheme="minorHAnsi"/>
          <w:sz w:val="20"/>
          <w:szCs w:val="20"/>
        </w:rPr>
        <w:t xml:space="preserve"> </w:t>
      </w:r>
      <w:r w:rsidRPr="003C2856">
        <w:rPr>
          <w:rFonts w:cstheme="minorHAnsi"/>
          <w:sz w:val="20"/>
          <w:szCs w:val="20"/>
        </w:rPr>
        <w:t>that “apprenticeships remain one of the most effective means of boosting social mobility for workers from poorer backgrounds.”</w:t>
      </w:r>
      <w:r w:rsidR="00704AA9" w:rsidRPr="003C2856">
        <w:rPr>
          <w:rFonts w:cstheme="minorHAnsi"/>
          <w:sz w:val="20"/>
          <w:szCs w:val="20"/>
        </w:rPr>
        <w:t xml:space="preserve"> </w:t>
      </w:r>
      <w:r w:rsidR="00CC5540">
        <w:rPr>
          <w:rFonts w:cstheme="minorHAnsi"/>
          <w:sz w:val="20"/>
          <w:szCs w:val="20"/>
        </w:rPr>
        <w:t>However,</w:t>
      </w:r>
      <w:r w:rsidR="00704AA9" w:rsidRPr="003C2856">
        <w:rPr>
          <w:rFonts w:cstheme="minorHAnsi"/>
          <w:sz w:val="20"/>
          <w:szCs w:val="20"/>
        </w:rPr>
        <w:t xml:space="preserve"> to full utilise apprenticeships</w:t>
      </w:r>
      <w:r w:rsidR="00936906" w:rsidRPr="003C2856">
        <w:rPr>
          <w:rFonts w:cstheme="minorHAnsi"/>
          <w:sz w:val="20"/>
          <w:szCs w:val="20"/>
        </w:rPr>
        <w:t>,</w:t>
      </w:r>
      <w:r w:rsidR="00704AA9" w:rsidRPr="003C2856">
        <w:rPr>
          <w:rFonts w:cstheme="minorHAnsi"/>
          <w:sz w:val="20"/>
          <w:szCs w:val="20"/>
        </w:rPr>
        <w:t xml:space="preserve"> volunteers </w:t>
      </w:r>
      <w:r w:rsidR="00E87264">
        <w:rPr>
          <w:rFonts w:cstheme="minorHAnsi"/>
          <w:sz w:val="20"/>
          <w:szCs w:val="20"/>
        </w:rPr>
        <w:t xml:space="preserve">have a role to play in </w:t>
      </w:r>
      <w:r w:rsidR="00704AA9" w:rsidRPr="003C2856">
        <w:rPr>
          <w:rFonts w:cstheme="minorHAnsi"/>
          <w:sz w:val="20"/>
          <w:szCs w:val="20"/>
        </w:rPr>
        <w:t>promoting them to young people</w:t>
      </w:r>
      <w:r w:rsidR="00626385">
        <w:rPr>
          <w:rFonts w:cstheme="minorHAnsi"/>
          <w:sz w:val="20"/>
          <w:szCs w:val="20"/>
        </w:rPr>
        <w:t xml:space="preserve"> in schools and colleges.</w:t>
      </w:r>
    </w:p>
    <w:p w14:paraId="0AE9FDDC" w14:textId="77777777" w:rsidR="00AC6B03" w:rsidRPr="003C2856" w:rsidRDefault="00ED698C" w:rsidP="00AC6B03">
      <w:pPr>
        <w:spacing w:after="60" w:line="240" w:lineRule="auto"/>
        <w:rPr>
          <w:rFonts w:cstheme="minorHAnsi"/>
          <w:sz w:val="20"/>
          <w:szCs w:val="20"/>
        </w:rPr>
      </w:pPr>
      <w:hyperlink r:id="rId14" w:history="1">
        <w:r w:rsidR="00AC6B03" w:rsidRPr="003C2856">
          <w:rPr>
            <w:rStyle w:val="Hyperlink"/>
            <w:rFonts w:cstheme="minorHAnsi"/>
            <w:sz w:val="20"/>
            <w:szCs w:val="20"/>
          </w:rPr>
          <w:t>Ofsted</w:t>
        </w:r>
      </w:hyperlink>
      <w:r w:rsidR="00AC6B03" w:rsidRPr="003C2856">
        <w:rPr>
          <w:rFonts w:cstheme="minorHAnsi"/>
          <w:sz w:val="20"/>
          <w:szCs w:val="20"/>
        </w:rPr>
        <w:t xml:space="preserve"> has shown that young people who undertook work experience or employment-tasters related to apprenticeships while still in school make much better progress than peers who did</w:t>
      </w:r>
      <w:r w:rsidR="00AC6B03">
        <w:rPr>
          <w:rFonts w:cstheme="minorHAnsi"/>
          <w:sz w:val="20"/>
          <w:szCs w:val="20"/>
        </w:rPr>
        <w:t xml:space="preserve"> not</w:t>
      </w:r>
      <w:r w:rsidR="00AC6B03" w:rsidRPr="003C2856">
        <w:rPr>
          <w:rFonts w:cstheme="minorHAnsi"/>
          <w:sz w:val="20"/>
          <w:szCs w:val="20"/>
        </w:rPr>
        <w:t xml:space="preserve"> – they are retained for longer and more of them complete their apprenticeship successfully. Many employers know this already: half of hairdressing firm Sassoon’s apprentices did a work experience placement with the company while still in school. Such practice needs to become widespread.</w:t>
      </w:r>
    </w:p>
    <w:p w14:paraId="702AD651" w14:textId="32E380D0" w:rsidR="00C015AD" w:rsidRPr="003C2856" w:rsidRDefault="00C015AD" w:rsidP="0009549B">
      <w:pPr>
        <w:pStyle w:val="Heading2"/>
        <w:spacing w:before="0" w:after="60" w:line="240" w:lineRule="auto"/>
        <w:rPr>
          <w:rFonts w:asciiTheme="minorHAnsi" w:hAnsiTheme="minorHAnsi" w:cstheme="minorHAnsi"/>
          <w:sz w:val="20"/>
          <w:szCs w:val="20"/>
        </w:rPr>
      </w:pPr>
      <w:r w:rsidRPr="003C2856">
        <w:rPr>
          <w:rFonts w:asciiTheme="minorHAnsi" w:hAnsiTheme="minorHAnsi" w:cstheme="minorHAnsi"/>
          <w:sz w:val="20"/>
          <w:szCs w:val="20"/>
        </w:rPr>
        <w:t>The role of volunteers</w:t>
      </w:r>
      <w:r w:rsidR="008A330C">
        <w:rPr>
          <w:rFonts w:asciiTheme="minorHAnsi" w:hAnsiTheme="minorHAnsi" w:cstheme="minorHAnsi"/>
          <w:sz w:val="20"/>
          <w:szCs w:val="20"/>
        </w:rPr>
        <w:t xml:space="preserve"> from the world of work</w:t>
      </w:r>
    </w:p>
    <w:p w14:paraId="366CC588" w14:textId="208B3DCF" w:rsidR="00C015AD" w:rsidRPr="003C2856" w:rsidRDefault="008A330C" w:rsidP="0009549B">
      <w:pPr>
        <w:spacing w:after="60" w:line="240" w:lineRule="auto"/>
        <w:rPr>
          <w:rFonts w:cstheme="minorHAnsi"/>
          <w:sz w:val="20"/>
          <w:szCs w:val="20"/>
        </w:rPr>
      </w:pPr>
      <w:r>
        <w:rPr>
          <w:rFonts w:cstheme="minorHAnsi"/>
          <w:sz w:val="20"/>
          <w:szCs w:val="20"/>
        </w:rPr>
        <w:t>More e</w:t>
      </w:r>
      <w:r w:rsidR="00C015AD" w:rsidRPr="003C2856">
        <w:rPr>
          <w:rFonts w:cstheme="minorHAnsi"/>
          <w:sz w:val="20"/>
          <w:szCs w:val="20"/>
        </w:rPr>
        <w:t>mployees and employers should volunteer in and engage with schools. Careers talks and fairs are excellent opportunities for businesses to communicate key information about themselves, including how</w:t>
      </w:r>
      <w:r w:rsidR="005E3F48" w:rsidRPr="005E3F48">
        <w:rPr>
          <w:rFonts w:cstheme="minorHAnsi"/>
          <w:sz w:val="20"/>
          <w:szCs w:val="20"/>
        </w:rPr>
        <w:t xml:space="preserve"> an individual could go about joining the </w:t>
      </w:r>
      <w:r w:rsidR="000C3480">
        <w:rPr>
          <w:rFonts w:cstheme="minorHAnsi"/>
          <w:sz w:val="20"/>
          <w:szCs w:val="20"/>
        </w:rPr>
        <w:t>company</w:t>
      </w:r>
      <w:r w:rsidR="00C015AD" w:rsidRPr="003C2856">
        <w:rPr>
          <w:rFonts w:cstheme="minorHAnsi"/>
          <w:sz w:val="20"/>
          <w:szCs w:val="20"/>
        </w:rPr>
        <w:t xml:space="preserve">. Exposure to volunteers is an effective way for young people to explore career options and understand the qualifications and experience which are valued by prospective employers. If an employer </w:t>
      </w:r>
      <w:r w:rsidR="007B202A">
        <w:rPr>
          <w:rFonts w:cstheme="minorHAnsi"/>
          <w:sz w:val="20"/>
          <w:szCs w:val="20"/>
        </w:rPr>
        <w:t>engages</w:t>
      </w:r>
      <w:r w:rsidR="00C015AD" w:rsidRPr="003C2856">
        <w:rPr>
          <w:rFonts w:cstheme="minorHAnsi"/>
          <w:sz w:val="20"/>
          <w:szCs w:val="20"/>
        </w:rPr>
        <w:t xml:space="preserve"> apprentices,</w:t>
      </w:r>
      <w:r>
        <w:rPr>
          <w:rFonts w:cstheme="minorHAnsi"/>
          <w:sz w:val="20"/>
          <w:szCs w:val="20"/>
        </w:rPr>
        <w:t xml:space="preserve"> then</w:t>
      </w:r>
      <w:r w:rsidR="00C015AD" w:rsidRPr="003C2856">
        <w:rPr>
          <w:rFonts w:cstheme="minorHAnsi"/>
          <w:sz w:val="20"/>
          <w:szCs w:val="20"/>
        </w:rPr>
        <w:t xml:space="preserve"> a careers talk is a great way to let young people know about this option. Encouraging a current or recent apprentice to give the careers talk themselves </w:t>
      </w:r>
      <w:r w:rsidR="00AD768E" w:rsidRPr="003C2856">
        <w:rPr>
          <w:rFonts w:cstheme="minorHAnsi"/>
          <w:sz w:val="20"/>
          <w:szCs w:val="20"/>
        </w:rPr>
        <w:t xml:space="preserve">can </w:t>
      </w:r>
      <w:r w:rsidR="00C015AD" w:rsidRPr="003C2856">
        <w:rPr>
          <w:rFonts w:cstheme="minorHAnsi"/>
          <w:sz w:val="20"/>
          <w:szCs w:val="20"/>
        </w:rPr>
        <w:t>inspire and inform young people about the options open to them.</w:t>
      </w:r>
    </w:p>
    <w:p w14:paraId="05E2BFA9" w14:textId="70BC7DF5" w:rsidR="00C015AD" w:rsidRPr="003C2856" w:rsidRDefault="00D8278B" w:rsidP="0009549B">
      <w:pPr>
        <w:spacing w:after="60" w:line="240" w:lineRule="auto"/>
        <w:rPr>
          <w:rFonts w:cstheme="minorHAnsi"/>
          <w:sz w:val="20"/>
          <w:szCs w:val="20"/>
        </w:rPr>
      </w:pPr>
      <w:r w:rsidRPr="003C2856">
        <w:rPr>
          <w:rFonts w:cstheme="minorHAnsi"/>
          <w:sz w:val="20"/>
          <w:szCs w:val="20"/>
        </w:rPr>
        <w:t>Y</w:t>
      </w:r>
      <w:r w:rsidR="00C015AD" w:rsidRPr="003C2856">
        <w:rPr>
          <w:rFonts w:cstheme="minorHAnsi"/>
          <w:sz w:val="20"/>
          <w:szCs w:val="20"/>
        </w:rPr>
        <w:t xml:space="preserve">oung people are particularly </w:t>
      </w:r>
      <w:hyperlink r:id="rId15" w:history="1">
        <w:r w:rsidR="00C015AD" w:rsidRPr="003C2856">
          <w:rPr>
            <w:rStyle w:val="Hyperlink"/>
            <w:rFonts w:cstheme="minorHAnsi"/>
            <w:sz w:val="20"/>
            <w:szCs w:val="20"/>
          </w:rPr>
          <w:t>respectful of, and attentive to</w:t>
        </w:r>
      </w:hyperlink>
      <w:r w:rsidR="00C015AD" w:rsidRPr="003C2856">
        <w:rPr>
          <w:rFonts w:cstheme="minorHAnsi"/>
          <w:sz w:val="20"/>
          <w:szCs w:val="20"/>
        </w:rPr>
        <w:t xml:space="preserve">, working people. They see them as </w:t>
      </w:r>
      <w:hyperlink r:id="rId16" w:history="1">
        <w:r w:rsidR="00C015AD" w:rsidRPr="003C2856">
          <w:rPr>
            <w:rStyle w:val="Hyperlink"/>
            <w:rFonts w:cstheme="minorHAnsi"/>
            <w:sz w:val="20"/>
            <w:szCs w:val="20"/>
          </w:rPr>
          <w:t>authentic</w:t>
        </w:r>
      </w:hyperlink>
      <w:r w:rsidRPr="003C2856">
        <w:rPr>
          <w:rFonts w:cstheme="minorHAnsi"/>
          <w:sz w:val="20"/>
          <w:szCs w:val="20"/>
        </w:rPr>
        <w:t xml:space="preserve"> and </w:t>
      </w:r>
      <w:r w:rsidR="00C015AD" w:rsidRPr="003C2856">
        <w:rPr>
          <w:rFonts w:cstheme="minorHAnsi"/>
          <w:sz w:val="20"/>
          <w:szCs w:val="20"/>
        </w:rPr>
        <w:t xml:space="preserve">honest, and prompting them to think more widely about career aspirations. Young people listen to them in a different way to teachers and parents: </w:t>
      </w:r>
      <w:hyperlink r:id="rId17" w:history="1">
        <w:r w:rsidR="00C015AD" w:rsidRPr="003C2856">
          <w:rPr>
            <w:rStyle w:val="Hyperlink"/>
            <w:rFonts w:cstheme="minorHAnsi"/>
            <w:sz w:val="20"/>
            <w:szCs w:val="20"/>
          </w:rPr>
          <w:t>88% of young adults</w:t>
        </w:r>
      </w:hyperlink>
      <w:r w:rsidR="00C015AD" w:rsidRPr="003C2856">
        <w:rPr>
          <w:rFonts w:cstheme="minorHAnsi"/>
          <w:sz w:val="20"/>
          <w:szCs w:val="20"/>
        </w:rPr>
        <w:t xml:space="preserve"> who heard from three or more employers about careers while at school say it helped them decide on a career, with 28% saying it helped a lot</w:t>
      </w:r>
      <w:r w:rsidR="004044BC" w:rsidRPr="003C2856">
        <w:rPr>
          <w:rFonts w:cstheme="minorHAnsi"/>
          <w:sz w:val="20"/>
          <w:szCs w:val="20"/>
        </w:rPr>
        <w:t>.</w:t>
      </w:r>
      <w:r w:rsidR="00C015AD" w:rsidRPr="003C2856">
        <w:rPr>
          <w:rFonts w:cstheme="minorHAnsi"/>
          <w:sz w:val="20"/>
          <w:szCs w:val="20"/>
        </w:rPr>
        <w:t xml:space="preserve"> </w:t>
      </w:r>
      <w:r w:rsidR="004044BC" w:rsidRPr="003C2856">
        <w:rPr>
          <w:rFonts w:cstheme="minorHAnsi"/>
          <w:sz w:val="20"/>
          <w:szCs w:val="20"/>
        </w:rPr>
        <w:t>B</w:t>
      </w:r>
      <w:r w:rsidR="00C015AD" w:rsidRPr="003C2856">
        <w:rPr>
          <w:rFonts w:cstheme="minorHAnsi"/>
          <w:sz w:val="20"/>
          <w:szCs w:val="20"/>
        </w:rPr>
        <w:t>ut</w:t>
      </w:r>
      <w:r w:rsidR="004044BC" w:rsidRPr="003C2856">
        <w:rPr>
          <w:rFonts w:cstheme="minorHAnsi"/>
          <w:sz w:val="20"/>
          <w:szCs w:val="20"/>
        </w:rPr>
        <w:t xml:space="preserve"> </w:t>
      </w:r>
      <w:r w:rsidR="00C015AD" w:rsidRPr="003C2856">
        <w:rPr>
          <w:rFonts w:cstheme="minorHAnsi"/>
          <w:sz w:val="20"/>
          <w:szCs w:val="20"/>
        </w:rPr>
        <w:t>just 11% had the opportunity to hear from at least three working professionals before leaving school or college.</w:t>
      </w:r>
    </w:p>
    <w:p w14:paraId="66DF7449" w14:textId="77777777" w:rsidR="00C015AD" w:rsidRPr="003C2856" w:rsidRDefault="00C015AD" w:rsidP="0009549B">
      <w:pPr>
        <w:spacing w:after="60" w:line="240" w:lineRule="auto"/>
        <w:rPr>
          <w:rFonts w:cstheme="minorHAnsi"/>
          <w:sz w:val="20"/>
          <w:szCs w:val="20"/>
        </w:rPr>
      </w:pPr>
      <w:r w:rsidRPr="003C2856">
        <w:rPr>
          <w:rFonts w:cstheme="minorHAnsi"/>
          <w:sz w:val="20"/>
          <w:szCs w:val="20"/>
        </w:rPr>
        <w:t xml:space="preserve">Volunteering in schools also helps to tackle gender stereotypes. If </w:t>
      </w:r>
      <w:hyperlink r:id="rId18" w:history="1">
        <w:r w:rsidRPr="003C2856">
          <w:rPr>
            <w:rStyle w:val="Hyperlink"/>
            <w:rFonts w:cstheme="minorHAnsi"/>
            <w:sz w:val="20"/>
            <w:szCs w:val="20"/>
          </w:rPr>
          <w:t>young men or women are reluctant to cross typical gender boundaries</w:t>
        </w:r>
      </w:hyperlink>
      <w:r w:rsidRPr="003C2856">
        <w:rPr>
          <w:rFonts w:cstheme="minorHAnsi"/>
          <w:sz w:val="20"/>
          <w:szCs w:val="20"/>
        </w:rPr>
        <w:t xml:space="preserve"> in apprenticeships then employers are losing out on the opportunity of recruiting potentially talented individuals.</w:t>
      </w:r>
    </w:p>
    <w:p w14:paraId="34D858F4" w14:textId="77777777" w:rsidR="00A913A7" w:rsidRPr="003C2856" w:rsidRDefault="00A913A7" w:rsidP="0009549B">
      <w:pPr>
        <w:pStyle w:val="Heading2"/>
        <w:spacing w:before="0" w:after="60" w:line="240" w:lineRule="auto"/>
        <w:rPr>
          <w:rFonts w:asciiTheme="minorHAnsi" w:hAnsiTheme="minorHAnsi" w:cstheme="minorHAnsi"/>
          <w:sz w:val="20"/>
          <w:szCs w:val="20"/>
        </w:rPr>
      </w:pPr>
      <w:r w:rsidRPr="003C2856">
        <w:rPr>
          <w:rFonts w:asciiTheme="minorHAnsi" w:hAnsiTheme="minorHAnsi" w:cstheme="minorHAnsi"/>
          <w:sz w:val="20"/>
          <w:szCs w:val="20"/>
        </w:rPr>
        <w:t>Hearing from apprentices</w:t>
      </w:r>
    </w:p>
    <w:p w14:paraId="389FCD5B" w14:textId="05655E2B" w:rsidR="00C75C50" w:rsidRPr="003C2856" w:rsidRDefault="00A913A7" w:rsidP="0009549B">
      <w:pPr>
        <w:spacing w:after="60" w:line="240" w:lineRule="auto"/>
        <w:rPr>
          <w:rFonts w:cstheme="minorHAnsi"/>
          <w:sz w:val="20"/>
          <w:szCs w:val="20"/>
        </w:rPr>
      </w:pPr>
      <w:r w:rsidRPr="003C2856">
        <w:rPr>
          <w:rFonts w:cstheme="minorHAnsi"/>
          <w:sz w:val="20"/>
          <w:szCs w:val="20"/>
        </w:rPr>
        <w:t xml:space="preserve">In order to maximise the effectiveness of apprenticeships in the UK young people should be able to hear from apprentices themselves. In fact, every young person at every school should get the chance to meet with </w:t>
      </w:r>
      <w:r w:rsidR="008A330C">
        <w:rPr>
          <w:rFonts w:cstheme="minorHAnsi"/>
          <w:sz w:val="20"/>
          <w:szCs w:val="20"/>
        </w:rPr>
        <w:t>a range of people</w:t>
      </w:r>
      <w:r w:rsidR="00D40780">
        <w:rPr>
          <w:rFonts w:cstheme="minorHAnsi"/>
          <w:sz w:val="20"/>
          <w:szCs w:val="20"/>
        </w:rPr>
        <w:t>, including those</w:t>
      </w:r>
      <w:r w:rsidR="008A330C">
        <w:rPr>
          <w:rFonts w:cstheme="minorHAnsi"/>
          <w:sz w:val="20"/>
          <w:szCs w:val="20"/>
        </w:rPr>
        <w:t xml:space="preserve"> who are or have </w:t>
      </w:r>
      <w:r w:rsidR="009163FA">
        <w:rPr>
          <w:rFonts w:cstheme="minorHAnsi"/>
          <w:sz w:val="20"/>
          <w:szCs w:val="20"/>
        </w:rPr>
        <w:t xml:space="preserve">been </w:t>
      </w:r>
      <w:r w:rsidR="008A330C">
        <w:rPr>
          <w:rFonts w:cstheme="minorHAnsi"/>
          <w:sz w:val="20"/>
          <w:szCs w:val="20"/>
        </w:rPr>
        <w:t>an apprentice.</w:t>
      </w:r>
      <w:r w:rsidR="00C75C50" w:rsidRPr="003C2856">
        <w:rPr>
          <w:rFonts w:cstheme="minorHAnsi"/>
          <w:sz w:val="20"/>
          <w:szCs w:val="20"/>
        </w:rPr>
        <w:t xml:space="preserve"> </w:t>
      </w:r>
      <w:r w:rsidR="003C333C" w:rsidRPr="003C2856">
        <w:rPr>
          <w:rFonts w:cstheme="minorHAnsi"/>
          <w:sz w:val="20"/>
          <w:szCs w:val="20"/>
        </w:rPr>
        <w:t>Y</w:t>
      </w:r>
      <w:r w:rsidRPr="003C2856">
        <w:rPr>
          <w:rFonts w:cstheme="minorHAnsi"/>
          <w:sz w:val="20"/>
          <w:szCs w:val="20"/>
        </w:rPr>
        <w:t>oung people meet</w:t>
      </w:r>
      <w:r w:rsidR="003C333C" w:rsidRPr="003C2856">
        <w:rPr>
          <w:rFonts w:cstheme="minorHAnsi"/>
          <w:sz w:val="20"/>
          <w:szCs w:val="20"/>
        </w:rPr>
        <w:t>ing</w:t>
      </w:r>
      <w:r w:rsidRPr="003C2856">
        <w:rPr>
          <w:rFonts w:cstheme="minorHAnsi"/>
          <w:sz w:val="20"/>
          <w:szCs w:val="20"/>
        </w:rPr>
        <w:t xml:space="preserve"> volunteers from the world of work creates lightbulb moments which show </w:t>
      </w:r>
      <w:r w:rsidR="008C0B8A" w:rsidRPr="003C2856">
        <w:rPr>
          <w:rFonts w:cstheme="minorHAnsi"/>
          <w:sz w:val="20"/>
          <w:szCs w:val="20"/>
        </w:rPr>
        <w:t xml:space="preserve">them </w:t>
      </w:r>
      <w:r w:rsidRPr="003C2856">
        <w:rPr>
          <w:rFonts w:cstheme="minorHAnsi"/>
          <w:sz w:val="20"/>
          <w:szCs w:val="20"/>
        </w:rPr>
        <w:t>how much choice they have.</w:t>
      </w:r>
    </w:p>
    <w:p w14:paraId="3089FB85" w14:textId="40CC3059" w:rsidR="00A913A7" w:rsidRPr="003C2856" w:rsidRDefault="008A330C" w:rsidP="0009549B">
      <w:pPr>
        <w:spacing w:after="60" w:line="240" w:lineRule="auto"/>
        <w:rPr>
          <w:rFonts w:cstheme="minorHAnsi"/>
          <w:sz w:val="20"/>
          <w:szCs w:val="20"/>
        </w:rPr>
      </w:pPr>
      <w:r>
        <w:t>As our research has shown</w:t>
      </w:r>
      <w:r w:rsidR="00A50F7C">
        <w:t>,</w:t>
      </w:r>
      <w:r>
        <w:t xml:space="preserve"> </w:t>
      </w:r>
      <w:hyperlink r:id="rId19" w:history="1">
        <w:r w:rsidR="00F52A08">
          <w:rPr>
            <w:rStyle w:val="Hyperlink"/>
            <w:rFonts w:cstheme="minorHAnsi"/>
            <w:sz w:val="20"/>
            <w:szCs w:val="20"/>
          </w:rPr>
          <w:t>f</w:t>
        </w:r>
        <w:r w:rsidR="00A913A7" w:rsidRPr="003C2856">
          <w:rPr>
            <w:rStyle w:val="Hyperlink"/>
            <w:rFonts w:cstheme="minorHAnsi"/>
            <w:sz w:val="20"/>
            <w:szCs w:val="20"/>
          </w:rPr>
          <w:t>our or more</w:t>
        </w:r>
      </w:hyperlink>
      <w:r w:rsidR="00A913A7" w:rsidRPr="003C2856">
        <w:rPr>
          <w:rFonts w:cstheme="minorHAnsi"/>
          <w:sz w:val="20"/>
          <w:szCs w:val="20"/>
        </w:rPr>
        <w:t xml:space="preserve"> encounters with employers reduces the likelihood of young people becoming NEET (Not in Education, Employment or Training), opens their minds to careers and helps to better </w:t>
      </w:r>
      <w:r w:rsidR="00A913A7" w:rsidRPr="003C2856">
        <w:rPr>
          <w:rFonts w:cstheme="minorHAnsi"/>
          <w:sz w:val="20"/>
          <w:szCs w:val="20"/>
        </w:rPr>
        <w:lastRenderedPageBreak/>
        <w:t xml:space="preserve">align </w:t>
      </w:r>
      <w:r w:rsidR="00C83280">
        <w:rPr>
          <w:rFonts w:cstheme="minorHAnsi"/>
          <w:sz w:val="20"/>
          <w:szCs w:val="20"/>
        </w:rPr>
        <w:t>young people’s</w:t>
      </w:r>
      <w:r w:rsidR="00A913A7" w:rsidRPr="003C2856">
        <w:rPr>
          <w:rFonts w:cstheme="minorHAnsi"/>
          <w:sz w:val="20"/>
          <w:szCs w:val="20"/>
        </w:rPr>
        <w:t xml:space="preserve"> aspirations with qualifications and pathways to the jobs they want, including apprenticeships.</w:t>
      </w:r>
    </w:p>
    <w:p w14:paraId="54B7AC4E" w14:textId="0489E902" w:rsidR="007472D3" w:rsidRPr="003C2856" w:rsidRDefault="007472D3" w:rsidP="0009549B">
      <w:pPr>
        <w:pStyle w:val="Heading2"/>
        <w:spacing w:before="0" w:after="60" w:line="240" w:lineRule="auto"/>
        <w:rPr>
          <w:rFonts w:asciiTheme="minorHAnsi" w:hAnsiTheme="minorHAnsi" w:cstheme="minorHAnsi"/>
          <w:sz w:val="20"/>
          <w:szCs w:val="20"/>
        </w:rPr>
      </w:pPr>
      <w:r w:rsidRPr="003C2856">
        <w:rPr>
          <w:rFonts w:asciiTheme="minorHAnsi" w:hAnsiTheme="minorHAnsi" w:cstheme="minorHAnsi"/>
          <w:sz w:val="20"/>
          <w:szCs w:val="20"/>
        </w:rPr>
        <w:t>Learning from the best: Germany and Switzerland</w:t>
      </w:r>
    </w:p>
    <w:p w14:paraId="14C5670C" w14:textId="77777777" w:rsidR="00C83280" w:rsidRDefault="004428D2" w:rsidP="0009549B">
      <w:pPr>
        <w:spacing w:after="60" w:line="240" w:lineRule="auto"/>
        <w:rPr>
          <w:rFonts w:cstheme="minorHAnsi"/>
          <w:sz w:val="20"/>
          <w:szCs w:val="20"/>
        </w:rPr>
      </w:pPr>
      <w:r w:rsidRPr="003C2856">
        <w:rPr>
          <w:rFonts w:cstheme="minorHAnsi"/>
          <w:sz w:val="20"/>
          <w:szCs w:val="20"/>
        </w:rPr>
        <w:t xml:space="preserve">Evidence from </w:t>
      </w:r>
      <w:hyperlink r:id="rId20" w:history="1">
        <w:r w:rsidR="007472D3" w:rsidRPr="003C2856">
          <w:rPr>
            <w:rStyle w:val="Hyperlink"/>
            <w:rFonts w:cstheme="minorHAnsi"/>
            <w:sz w:val="20"/>
            <w:szCs w:val="20"/>
          </w:rPr>
          <w:t>Germany</w:t>
        </w:r>
      </w:hyperlink>
      <w:r w:rsidR="007472D3" w:rsidRPr="003C2856">
        <w:rPr>
          <w:rFonts w:cstheme="minorHAnsi"/>
          <w:sz w:val="20"/>
          <w:szCs w:val="20"/>
        </w:rPr>
        <w:t xml:space="preserve"> highlights how a successful apprenticeship programme engages employers in education, having them attend job fairs or </w:t>
      </w:r>
      <w:r w:rsidR="007E70D1" w:rsidRPr="003C2856">
        <w:rPr>
          <w:rFonts w:cstheme="minorHAnsi"/>
          <w:sz w:val="20"/>
          <w:szCs w:val="20"/>
        </w:rPr>
        <w:t>‘</w:t>
      </w:r>
      <w:r w:rsidR="007472D3" w:rsidRPr="003C2856">
        <w:rPr>
          <w:rFonts w:cstheme="minorHAnsi"/>
          <w:sz w:val="20"/>
          <w:szCs w:val="20"/>
        </w:rPr>
        <w:t>speed dating</w:t>
      </w:r>
      <w:r w:rsidR="007E70D1" w:rsidRPr="003C2856">
        <w:rPr>
          <w:rFonts w:cstheme="minorHAnsi"/>
          <w:sz w:val="20"/>
          <w:szCs w:val="20"/>
        </w:rPr>
        <w:t>’</w:t>
      </w:r>
      <w:r w:rsidR="007472D3" w:rsidRPr="003C2856">
        <w:rPr>
          <w:rFonts w:cstheme="minorHAnsi"/>
          <w:sz w:val="20"/>
          <w:szCs w:val="20"/>
        </w:rPr>
        <w:t xml:space="preserve"> sessions with young people.</w:t>
      </w:r>
    </w:p>
    <w:p w14:paraId="0D211631" w14:textId="5E163393" w:rsidR="007472D3" w:rsidRPr="003C2856" w:rsidRDefault="007472D3" w:rsidP="0009549B">
      <w:pPr>
        <w:spacing w:after="60" w:line="240" w:lineRule="auto"/>
        <w:rPr>
          <w:rFonts w:cstheme="minorHAnsi"/>
          <w:sz w:val="20"/>
          <w:szCs w:val="20"/>
        </w:rPr>
      </w:pPr>
      <w:r w:rsidRPr="003C2856">
        <w:rPr>
          <w:rFonts w:cstheme="minorHAnsi"/>
          <w:sz w:val="20"/>
          <w:szCs w:val="20"/>
        </w:rPr>
        <w:t xml:space="preserve">The Swiss Apprenticeship system is </w:t>
      </w:r>
      <w:hyperlink r:id="rId21" w:history="1">
        <w:r w:rsidRPr="003C2856">
          <w:rPr>
            <w:rStyle w:val="Hyperlink"/>
            <w:rFonts w:cstheme="minorHAnsi"/>
            <w:sz w:val="20"/>
            <w:szCs w:val="20"/>
          </w:rPr>
          <w:t>widely regarded as the best in the world</w:t>
        </w:r>
      </w:hyperlink>
      <w:r w:rsidRPr="003C2856">
        <w:rPr>
          <w:rFonts w:cstheme="minorHAnsi"/>
          <w:sz w:val="20"/>
          <w:szCs w:val="20"/>
        </w:rPr>
        <w:t xml:space="preserve">. Switzerland takes a strategic approach in which young people are exposed to potential apprenticeship employers while still at school </w:t>
      </w:r>
      <w:r w:rsidR="0096690A" w:rsidRPr="003C2856">
        <w:rPr>
          <w:rFonts w:cstheme="minorHAnsi"/>
          <w:sz w:val="20"/>
          <w:szCs w:val="20"/>
        </w:rPr>
        <w:t xml:space="preserve">to help them </w:t>
      </w:r>
      <w:r w:rsidRPr="003C2856">
        <w:rPr>
          <w:rFonts w:cstheme="minorHAnsi"/>
          <w:sz w:val="20"/>
          <w:szCs w:val="20"/>
        </w:rPr>
        <w:t>make informed, successful decisions about their futures. In Switzerland work experience is very much about career exploration</w:t>
      </w:r>
      <w:r w:rsidR="00437C00" w:rsidRPr="003C2856">
        <w:rPr>
          <w:rFonts w:cstheme="minorHAnsi"/>
          <w:sz w:val="20"/>
          <w:szCs w:val="20"/>
        </w:rPr>
        <w:t xml:space="preserve">, </w:t>
      </w:r>
      <w:r w:rsidRPr="003C2856">
        <w:rPr>
          <w:rFonts w:cstheme="minorHAnsi"/>
          <w:sz w:val="20"/>
          <w:szCs w:val="20"/>
        </w:rPr>
        <w:t xml:space="preserve">a taste of a potential future. </w:t>
      </w:r>
      <w:r w:rsidR="00680836" w:rsidRPr="003C2856">
        <w:rPr>
          <w:rFonts w:cstheme="minorHAnsi"/>
          <w:sz w:val="20"/>
          <w:szCs w:val="20"/>
        </w:rPr>
        <w:t xml:space="preserve">The system uses </w:t>
      </w:r>
      <w:r w:rsidRPr="003C2856">
        <w:rPr>
          <w:rFonts w:cstheme="minorHAnsi"/>
          <w:sz w:val="20"/>
          <w:szCs w:val="20"/>
        </w:rPr>
        <w:t>careers fairs and workplace visits</w:t>
      </w:r>
      <w:r w:rsidR="00680836" w:rsidRPr="003C2856">
        <w:rPr>
          <w:rFonts w:cstheme="minorHAnsi"/>
          <w:sz w:val="20"/>
          <w:szCs w:val="20"/>
        </w:rPr>
        <w:t xml:space="preserve"> </w:t>
      </w:r>
      <w:r w:rsidRPr="003C2856">
        <w:rPr>
          <w:rFonts w:cstheme="minorHAnsi"/>
          <w:sz w:val="20"/>
          <w:szCs w:val="20"/>
        </w:rPr>
        <w:t>to place young people with employers able to offer apprenticeships.</w:t>
      </w:r>
    </w:p>
    <w:p w14:paraId="4CC3A86C" w14:textId="77777777" w:rsidR="00A317B2" w:rsidRPr="003C2856" w:rsidRDefault="00A317B2" w:rsidP="0009549B">
      <w:pPr>
        <w:pStyle w:val="Heading2"/>
        <w:spacing w:before="0" w:after="60" w:line="240" w:lineRule="auto"/>
        <w:rPr>
          <w:rFonts w:asciiTheme="minorHAnsi" w:hAnsiTheme="minorHAnsi" w:cstheme="minorHAnsi"/>
          <w:sz w:val="20"/>
          <w:szCs w:val="20"/>
        </w:rPr>
      </w:pPr>
      <w:r w:rsidRPr="003C2856">
        <w:rPr>
          <w:rFonts w:asciiTheme="minorHAnsi" w:hAnsiTheme="minorHAnsi" w:cstheme="minorHAnsi"/>
          <w:sz w:val="20"/>
          <w:szCs w:val="20"/>
        </w:rPr>
        <w:t>Recommendations for schools and colleges</w:t>
      </w:r>
    </w:p>
    <w:p w14:paraId="3739C101" w14:textId="22D47748" w:rsidR="00A317B2" w:rsidRPr="003C2856" w:rsidRDefault="00A317B2" w:rsidP="0009549B">
      <w:pPr>
        <w:spacing w:after="60" w:line="240" w:lineRule="auto"/>
        <w:rPr>
          <w:rFonts w:cstheme="minorHAnsi"/>
          <w:sz w:val="20"/>
          <w:szCs w:val="20"/>
        </w:rPr>
      </w:pPr>
      <w:r w:rsidRPr="003C2856">
        <w:rPr>
          <w:rFonts w:cstheme="minorHAnsi"/>
          <w:sz w:val="20"/>
          <w:szCs w:val="20"/>
        </w:rPr>
        <w:t xml:space="preserve">A key element of any employer’s talent pipeline strategy should be to raise awareness of apprenticeship routes, such as by giving careers talks in schools, and following this up with work experience or job shadowing to give a realistic insight into what </w:t>
      </w:r>
      <w:r w:rsidR="00CD0F24">
        <w:rPr>
          <w:rFonts w:cstheme="minorHAnsi"/>
          <w:sz w:val="20"/>
          <w:szCs w:val="20"/>
        </w:rPr>
        <w:t xml:space="preserve">a </w:t>
      </w:r>
      <w:r w:rsidRPr="003C2856">
        <w:rPr>
          <w:rFonts w:cstheme="minorHAnsi"/>
          <w:sz w:val="20"/>
          <w:szCs w:val="20"/>
        </w:rPr>
        <w:t>prospective apprentice can expect.</w:t>
      </w:r>
      <w:r w:rsidR="001375DD">
        <w:rPr>
          <w:rFonts w:cstheme="minorHAnsi"/>
          <w:sz w:val="20"/>
          <w:szCs w:val="20"/>
        </w:rPr>
        <w:t xml:space="preserve"> </w:t>
      </w:r>
      <w:r w:rsidRPr="003C2856">
        <w:rPr>
          <w:rFonts w:cstheme="minorHAnsi"/>
          <w:sz w:val="20"/>
          <w:szCs w:val="20"/>
        </w:rPr>
        <w:t>By engaging with schools, employers can close the information gap for young people about what different apprenticeships can offer, and how to best prepare themselves for success in applications.</w:t>
      </w:r>
    </w:p>
    <w:p w14:paraId="3DAE266B" w14:textId="22AABAFB" w:rsidR="00A317B2" w:rsidRPr="003C2856" w:rsidRDefault="00A317B2" w:rsidP="0009549B">
      <w:pPr>
        <w:spacing w:after="60" w:line="240" w:lineRule="auto"/>
        <w:rPr>
          <w:rFonts w:cstheme="minorHAnsi"/>
          <w:sz w:val="20"/>
          <w:szCs w:val="20"/>
        </w:rPr>
      </w:pPr>
      <w:r w:rsidRPr="003C2856">
        <w:rPr>
          <w:rFonts w:cstheme="minorHAnsi"/>
          <w:sz w:val="20"/>
          <w:szCs w:val="20"/>
        </w:rPr>
        <w:t xml:space="preserve">The OECD </w:t>
      </w:r>
      <w:hyperlink r:id="rId22" w:history="1">
        <w:r w:rsidRPr="003C2856">
          <w:rPr>
            <w:rStyle w:val="Hyperlink"/>
            <w:rFonts w:cstheme="minorHAnsi"/>
            <w:sz w:val="20"/>
            <w:szCs w:val="20"/>
          </w:rPr>
          <w:t>argues</w:t>
        </w:r>
      </w:hyperlink>
      <w:r w:rsidRPr="003C2856">
        <w:rPr>
          <w:rFonts w:cstheme="minorHAnsi"/>
          <w:sz w:val="20"/>
          <w:szCs w:val="20"/>
        </w:rPr>
        <w:t xml:space="preserve"> that employer contacts are integral to effective careers guidance and states that “schools should encourage an understanding of the world of work from the earliest years, backed by visits to workplaces and workplace experiences.”</w:t>
      </w:r>
    </w:p>
    <w:p w14:paraId="09212229" w14:textId="49EA7AA0" w:rsidR="00A317B2" w:rsidRPr="003C2856" w:rsidRDefault="00A317B2" w:rsidP="0009549B">
      <w:pPr>
        <w:spacing w:after="60" w:line="240" w:lineRule="auto"/>
        <w:rPr>
          <w:rFonts w:cstheme="minorHAnsi"/>
          <w:sz w:val="20"/>
          <w:szCs w:val="20"/>
        </w:rPr>
      </w:pPr>
      <w:r w:rsidRPr="003C2856">
        <w:rPr>
          <w:rFonts w:cstheme="minorHAnsi"/>
          <w:sz w:val="20"/>
          <w:szCs w:val="20"/>
        </w:rPr>
        <w:t xml:space="preserve">Our </w:t>
      </w:r>
      <w:hyperlink r:id="rId23" w:history="1">
        <w:r w:rsidRPr="003C2856">
          <w:rPr>
            <w:rStyle w:val="Hyperlink"/>
            <w:rFonts w:cstheme="minorHAnsi"/>
            <w:sz w:val="20"/>
            <w:szCs w:val="20"/>
          </w:rPr>
          <w:t>research on apprenticeships</w:t>
        </w:r>
      </w:hyperlink>
      <w:r w:rsidRPr="003C2856">
        <w:rPr>
          <w:rFonts w:cstheme="minorHAnsi"/>
          <w:sz w:val="20"/>
          <w:szCs w:val="20"/>
        </w:rPr>
        <w:t xml:space="preserve"> explores what distinguishes schools which guide significant numbers of pupils into apprenticeships from those which do not. As a result, we made the following recommendations for schools and colleges</w:t>
      </w:r>
      <w:r w:rsidRPr="003C2856">
        <w:rPr>
          <w:rFonts w:cstheme="minorHAnsi"/>
          <w:b/>
          <w:bCs/>
          <w:sz w:val="20"/>
          <w:szCs w:val="20"/>
        </w:rPr>
        <w:t xml:space="preserve"> </w:t>
      </w:r>
      <w:hyperlink r:id="rId24" w:history="1">
        <w:r w:rsidRPr="003C2856">
          <w:rPr>
            <w:rStyle w:val="Hyperlink"/>
            <w:rFonts w:cstheme="minorHAnsi"/>
            <w:sz w:val="20"/>
            <w:szCs w:val="20"/>
          </w:rPr>
          <w:t>in our Teenage apprenticeships report:</w:t>
        </w:r>
      </w:hyperlink>
    </w:p>
    <w:p w14:paraId="57283A16" w14:textId="77777777"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b/>
          <w:bCs/>
          <w:sz w:val="20"/>
          <w:szCs w:val="20"/>
        </w:rPr>
        <w:t xml:space="preserve">Support </w:t>
      </w:r>
      <w:r w:rsidRPr="003C2856">
        <w:rPr>
          <w:rFonts w:cstheme="minorHAnsi"/>
          <w:sz w:val="20"/>
          <w:szCs w:val="20"/>
        </w:rPr>
        <w:t>should be provided to schools and colleges to further raise the confidence of school staff in providing advice to interested students.</w:t>
      </w:r>
    </w:p>
    <w:p w14:paraId="3D494ADD" w14:textId="77777777"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b/>
          <w:bCs/>
          <w:sz w:val="20"/>
          <w:szCs w:val="20"/>
        </w:rPr>
        <w:t xml:space="preserve">Increase and diversify </w:t>
      </w:r>
      <w:r w:rsidRPr="003C2856">
        <w:rPr>
          <w:rFonts w:cstheme="minorHAnsi"/>
          <w:sz w:val="20"/>
          <w:szCs w:val="20"/>
        </w:rPr>
        <w:t>the amount of apprenticeship events involving employers, invite ex/current apprentices into school.</w:t>
      </w:r>
    </w:p>
    <w:p w14:paraId="3FC9D734" w14:textId="79467EA6"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sz w:val="20"/>
          <w:szCs w:val="20"/>
        </w:rPr>
        <w:t xml:space="preserve">Schools and colleges should do more to </w:t>
      </w:r>
      <w:r w:rsidRPr="003C2856">
        <w:rPr>
          <w:rFonts w:cstheme="minorHAnsi"/>
          <w:b/>
          <w:bCs/>
          <w:sz w:val="20"/>
          <w:szCs w:val="20"/>
        </w:rPr>
        <w:t>engage parents</w:t>
      </w:r>
      <w:r w:rsidRPr="003C2856">
        <w:rPr>
          <w:rFonts w:cstheme="minorHAnsi"/>
          <w:sz w:val="20"/>
          <w:szCs w:val="20"/>
        </w:rPr>
        <w:t xml:space="preserve"> as part of wider apprenticeship awareness. </w:t>
      </w:r>
      <w:r w:rsidR="00C550FF" w:rsidRPr="003C2856">
        <w:rPr>
          <w:rFonts w:cstheme="minorHAnsi"/>
          <w:sz w:val="20"/>
          <w:szCs w:val="20"/>
        </w:rPr>
        <w:t>I</w:t>
      </w:r>
      <w:r w:rsidRPr="003C2856">
        <w:rPr>
          <w:rFonts w:cstheme="minorHAnsi"/>
          <w:sz w:val="20"/>
          <w:szCs w:val="20"/>
        </w:rPr>
        <w:t>t is important that parents understand their value and potential as a way of helping their children progress in the labour market</w:t>
      </w:r>
      <w:r w:rsidR="00E74273" w:rsidRPr="003C2856">
        <w:rPr>
          <w:rFonts w:cstheme="minorHAnsi"/>
          <w:sz w:val="20"/>
          <w:szCs w:val="20"/>
        </w:rPr>
        <w:t>.</w:t>
      </w:r>
    </w:p>
    <w:p w14:paraId="3D51B457" w14:textId="5D8715FF"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sz w:val="20"/>
          <w:szCs w:val="20"/>
        </w:rPr>
        <w:t xml:space="preserve">Do more to </w:t>
      </w:r>
      <w:r w:rsidRPr="003C2856">
        <w:rPr>
          <w:rFonts w:cstheme="minorHAnsi"/>
          <w:b/>
          <w:bCs/>
          <w:sz w:val="20"/>
          <w:szCs w:val="20"/>
        </w:rPr>
        <w:t>promote</w:t>
      </w:r>
      <w:r w:rsidRPr="003C2856">
        <w:rPr>
          <w:rFonts w:cstheme="minorHAnsi"/>
          <w:sz w:val="20"/>
          <w:szCs w:val="20"/>
        </w:rPr>
        <w:t xml:space="preserve"> advanced and </w:t>
      </w:r>
      <w:r w:rsidR="0089666F" w:rsidRPr="003C2856">
        <w:rPr>
          <w:rFonts w:cstheme="minorHAnsi"/>
          <w:sz w:val="20"/>
          <w:szCs w:val="20"/>
        </w:rPr>
        <w:t>higher-level</w:t>
      </w:r>
      <w:r w:rsidRPr="003C2856">
        <w:rPr>
          <w:rFonts w:cstheme="minorHAnsi"/>
          <w:sz w:val="20"/>
          <w:szCs w:val="20"/>
        </w:rPr>
        <w:t xml:space="preserve"> apprenticeships.</w:t>
      </w:r>
    </w:p>
    <w:p w14:paraId="02804E44" w14:textId="77777777"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sz w:val="20"/>
          <w:szCs w:val="20"/>
        </w:rPr>
        <w:t xml:space="preserve">Raise awareness of apprenticeships from a </w:t>
      </w:r>
      <w:r w:rsidRPr="003C2856">
        <w:rPr>
          <w:rFonts w:cstheme="minorHAnsi"/>
          <w:b/>
          <w:bCs/>
          <w:sz w:val="20"/>
          <w:szCs w:val="20"/>
        </w:rPr>
        <w:t>younger age</w:t>
      </w:r>
      <w:r w:rsidRPr="003C2856">
        <w:rPr>
          <w:rFonts w:cstheme="minorHAnsi"/>
          <w:b/>
          <w:bCs/>
          <w:i/>
          <w:iCs/>
          <w:sz w:val="20"/>
          <w:szCs w:val="20"/>
        </w:rPr>
        <w:t>.</w:t>
      </w:r>
    </w:p>
    <w:p w14:paraId="0F474652" w14:textId="77777777"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sz w:val="20"/>
          <w:szCs w:val="20"/>
        </w:rPr>
        <w:t xml:space="preserve">Schools and colleges should do more to </w:t>
      </w:r>
      <w:r w:rsidRPr="003C2856">
        <w:rPr>
          <w:rFonts w:cstheme="minorHAnsi"/>
          <w:b/>
          <w:bCs/>
          <w:sz w:val="20"/>
          <w:szCs w:val="20"/>
        </w:rPr>
        <w:t>challenge</w:t>
      </w:r>
      <w:r w:rsidRPr="003C2856">
        <w:rPr>
          <w:rFonts w:cstheme="minorHAnsi"/>
          <w:sz w:val="20"/>
          <w:szCs w:val="20"/>
        </w:rPr>
        <w:t xml:space="preserve"> gender stereotypes and broaden the aspirations of young women who are thinking about apprenticeships.</w:t>
      </w:r>
    </w:p>
    <w:p w14:paraId="3C61736F" w14:textId="706AE950" w:rsidR="00A317B2" w:rsidRPr="003C2856" w:rsidRDefault="00A317B2" w:rsidP="0009549B">
      <w:pPr>
        <w:pStyle w:val="ListParagraph"/>
        <w:numPr>
          <w:ilvl w:val="0"/>
          <w:numId w:val="3"/>
        </w:numPr>
        <w:spacing w:after="60" w:line="240" w:lineRule="auto"/>
        <w:rPr>
          <w:rFonts w:cstheme="minorHAnsi"/>
          <w:sz w:val="20"/>
          <w:szCs w:val="20"/>
        </w:rPr>
      </w:pPr>
      <w:r w:rsidRPr="003C2856">
        <w:rPr>
          <w:rFonts w:cstheme="minorHAnsi"/>
          <w:sz w:val="20"/>
          <w:szCs w:val="20"/>
        </w:rPr>
        <w:t>Tailor recruitment skills provision to reflect the methods and processes that employers now use to hire apprentices</w:t>
      </w:r>
      <w:r w:rsidR="00263CFA">
        <w:rPr>
          <w:rFonts w:cstheme="minorHAnsi"/>
          <w:sz w:val="20"/>
          <w:szCs w:val="20"/>
        </w:rPr>
        <w:t>.</w:t>
      </w:r>
    </w:p>
    <w:p w14:paraId="1B78D16D" w14:textId="4C4C6081" w:rsidR="00130267" w:rsidRPr="003C2856" w:rsidRDefault="00130267" w:rsidP="0009549B">
      <w:pPr>
        <w:pStyle w:val="Heading2"/>
        <w:spacing w:before="0" w:after="60" w:line="240" w:lineRule="auto"/>
        <w:rPr>
          <w:rFonts w:asciiTheme="minorHAnsi" w:hAnsiTheme="minorHAnsi" w:cstheme="minorHAnsi"/>
          <w:sz w:val="20"/>
          <w:szCs w:val="20"/>
        </w:rPr>
      </w:pPr>
      <w:r w:rsidRPr="003C2856">
        <w:rPr>
          <w:rFonts w:asciiTheme="minorHAnsi" w:hAnsiTheme="minorHAnsi" w:cstheme="minorHAnsi"/>
          <w:sz w:val="20"/>
          <w:szCs w:val="20"/>
        </w:rPr>
        <w:t>Inspiring the Future</w:t>
      </w:r>
    </w:p>
    <w:p w14:paraId="22145046" w14:textId="17E09C6A" w:rsidR="00517DF9" w:rsidRPr="003C2856" w:rsidRDefault="00C00ADF" w:rsidP="0009549B">
      <w:pPr>
        <w:spacing w:after="60" w:line="240" w:lineRule="auto"/>
        <w:rPr>
          <w:rFonts w:cstheme="minorHAnsi"/>
          <w:sz w:val="20"/>
          <w:szCs w:val="20"/>
        </w:rPr>
      </w:pPr>
      <w:r w:rsidRPr="003C2856">
        <w:rPr>
          <w:rFonts w:cstheme="minorHAnsi"/>
          <w:sz w:val="20"/>
          <w:szCs w:val="20"/>
        </w:rPr>
        <w:t xml:space="preserve">Education and Employers </w:t>
      </w:r>
      <w:r w:rsidR="0003227F" w:rsidRPr="003C2856">
        <w:rPr>
          <w:rFonts w:cstheme="minorHAnsi"/>
          <w:sz w:val="20"/>
          <w:szCs w:val="20"/>
        </w:rPr>
        <w:t>provide</w:t>
      </w:r>
      <w:r w:rsidR="00E74273" w:rsidRPr="003C2856">
        <w:rPr>
          <w:rFonts w:cstheme="minorHAnsi"/>
          <w:sz w:val="20"/>
          <w:szCs w:val="20"/>
        </w:rPr>
        <w:t>s</w:t>
      </w:r>
      <w:r w:rsidR="0003227F" w:rsidRPr="003C2856">
        <w:rPr>
          <w:rFonts w:cstheme="minorHAnsi"/>
          <w:sz w:val="20"/>
          <w:szCs w:val="20"/>
        </w:rPr>
        <w:t xml:space="preserve"> </w:t>
      </w:r>
      <w:r w:rsidR="00517DF9" w:rsidRPr="003C2856">
        <w:rPr>
          <w:rFonts w:cstheme="minorHAnsi"/>
          <w:sz w:val="20"/>
          <w:szCs w:val="20"/>
        </w:rPr>
        <w:t>free service</w:t>
      </w:r>
      <w:r w:rsidRPr="003C2856">
        <w:rPr>
          <w:rFonts w:cstheme="minorHAnsi"/>
          <w:sz w:val="20"/>
          <w:szCs w:val="20"/>
        </w:rPr>
        <w:t>s</w:t>
      </w:r>
      <w:r w:rsidR="00517DF9" w:rsidRPr="003C2856">
        <w:rPr>
          <w:rFonts w:cstheme="minorHAnsi"/>
          <w:sz w:val="20"/>
          <w:szCs w:val="20"/>
        </w:rPr>
        <w:t xml:space="preserve"> which allow state schools and colleges to connect with employee volunteers willing to speak to young people about the jobs they do and the routes they took into them. </w:t>
      </w:r>
      <w:r w:rsidR="004B21B5" w:rsidRPr="003C2856">
        <w:rPr>
          <w:rFonts w:cstheme="minorHAnsi"/>
          <w:sz w:val="20"/>
          <w:szCs w:val="20"/>
        </w:rPr>
        <w:t xml:space="preserve">The </w:t>
      </w:r>
      <w:hyperlink r:id="rId25" w:history="1">
        <w:r w:rsidR="004B21B5" w:rsidRPr="003C2856">
          <w:rPr>
            <w:rStyle w:val="Hyperlink"/>
            <w:rFonts w:cstheme="minorHAnsi"/>
            <w:sz w:val="20"/>
            <w:szCs w:val="20"/>
          </w:rPr>
          <w:t>Inspiring the Future</w:t>
        </w:r>
      </w:hyperlink>
      <w:r w:rsidR="004B21B5" w:rsidRPr="003C2856">
        <w:rPr>
          <w:rFonts w:cstheme="minorHAnsi"/>
          <w:sz w:val="20"/>
          <w:szCs w:val="20"/>
        </w:rPr>
        <w:t xml:space="preserve"> and </w:t>
      </w:r>
      <w:hyperlink r:id="rId26" w:history="1">
        <w:r w:rsidR="004B21B5" w:rsidRPr="003C2856">
          <w:rPr>
            <w:rStyle w:val="Hyperlink"/>
            <w:rFonts w:cstheme="minorHAnsi"/>
            <w:sz w:val="20"/>
            <w:szCs w:val="20"/>
          </w:rPr>
          <w:t>Primary Futures</w:t>
        </w:r>
      </w:hyperlink>
      <w:r w:rsidR="004B21B5" w:rsidRPr="003C2856">
        <w:rPr>
          <w:rFonts w:cstheme="minorHAnsi"/>
          <w:sz w:val="20"/>
          <w:szCs w:val="20"/>
        </w:rPr>
        <w:t xml:space="preserve"> programmes provide first-hand insight into jobs and careers, with many thousands of volunteers across the country able to speak </w:t>
      </w:r>
      <w:r w:rsidR="009E5936" w:rsidRPr="003C2856">
        <w:rPr>
          <w:rFonts w:cstheme="minorHAnsi"/>
          <w:sz w:val="20"/>
          <w:szCs w:val="20"/>
        </w:rPr>
        <w:t xml:space="preserve">about their </w:t>
      </w:r>
      <w:r w:rsidR="004B21B5" w:rsidRPr="003C2856">
        <w:rPr>
          <w:rFonts w:cstheme="minorHAnsi"/>
          <w:sz w:val="20"/>
          <w:szCs w:val="20"/>
        </w:rPr>
        <w:t>experience</w:t>
      </w:r>
      <w:r w:rsidR="009E5936" w:rsidRPr="003C2856">
        <w:rPr>
          <w:rFonts w:cstheme="minorHAnsi"/>
          <w:sz w:val="20"/>
          <w:szCs w:val="20"/>
        </w:rPr>
        <w:t>, including</w:t>
      </w:r>
      <w:r w:rsidR="004B21B5" w:rsidRPr="003C2856">
        <w:rPr>
          <w:rFonts w:cstheme="minorHAnsi"/>
          <w:sz w:val="20"/>
          <w:szCs w:val="20"/>
        </w:rPr>
        <w:t xml:space="preserve"> of being an apprentice. The programmes are </w:t>
      </w:r>
      <w:r w:rsidR="00517DF9" w:rsidRPr="003C2856">
        <w:rPr>
          <w:rFonts w:cstheme="minorHAnsi"/>
          <w:sz w:val="20"/>
          <w:szCs w:val="20"/>
        </w:rPr>
        <w:t xml:space="preserve">particularly relevant for raising awareness about </w:t>
      </w:r>
      <w:r w:rsidR="004B21B5" w:rsidRPr="003C2856">
        <w:rPr>
          <w:rFonts w:cstheme="minorHAnsi"/>
          <w:sz w:val="20"/>
          <w:szCs w:val="20"/>
        </w:rPr>
        <w:t>a</w:t>
      </w:r>
      <w:r w:rsidR="00517DF9" w:rsidRPr="003C2856">
        <w:rPr>
          <w:rFonts w:cstheme="minorHAnsi"/>
          <w:sz w:val="20"/>
          <w:szCs w:val="20"/>
        </w:rPr>
        <w:t xml:space="preserve">pprenticeships, as, when registering, organisations are asked to disclose their interest in </w:t>
      </w:r>
      <w:r w:rsidR="00F17285" w:rsidRPr="003C2856">
        <w:rPr>
          <w:rFonts w:cstheme="minorHAnsi"/>
          <w:sz w:val="20"/>
          <w:szCs w:val="20"/>
        </w:rPr>
        <w:t>a</w:t>
      </w:r>
      <w:r w:rsidR="00517DF9" w:rsidRPr="003C2856">
        <w:rPr>
          <w:rFonts w:cstheme="minorHAnsi"/>
          <w:sz w:val="20"/>
          <w:szCs w:val="20"/>
        </w:rPr>
        <w:t xml:space="preserve">pprenticeships, making it easy for schools and colleges to find the right people. The scheme </w:t>
      </w:r>
      <w:r w:rsidR="006C17FB" w:rsidRPr="003C2856">
        <w:rPr>
          <w:rFonts w:cstheme="minorHAnsi"/>
          <w:sz w:val="20"/>
          <w:szCs w:val="20"/>
        </w:rPr>
        <w:t xml:space="preserve">makes </w:t>
      </w:r>
      <w:r w:rsidR="00517DF9" w:rsidRPr="003C2856">
        <w:rPr>
          <w:rFonts w:cstheme="minorHAnsi"/>
          <w:sz w:val="20"/>
          <w:szCs w:val="20"/>
        </w:rPr>
        <w:t xml:space="preserve">it easy for teachers to find people to give informed careers insights to pupils. Find out more at </w:t>
      </w:r>
      <w:hyperlink r:id="rId27" w:history="1">
        <w:r w:rsidR="00517DF9" w:rsidRPr="003C2856">
          <w:rPr>
            <w:rStyle w:val="Hyperlink"/>
            <w:rFonts w:cstheme="minorHAnsi"/>
            <w:sz w:val="20"/>
            <w:szCs w:val="20"/>
          </w:rPr>
          <w:t>www.inspiringthefuture.org</w:t>
        </w:r>
      </w:hyperlink>
    </w:p>
    <w:p w14:paraId="7CC3C831" w14:textId="012DBDEE" w:rsidR="00AA1315" w:rsidRPr="003C2856" w:rsidRDefault="00AA1315" w:rsidP="0009549B">
      <w:pPr>
        <w:spacing w:after="60" w:line="240" w:lineRule="auto"/>
        <w:rPr>
          <w:rFonts w:cstheme="minorHAnsi"/>
          <w:sz w:val="20"/>
          <w:szCs w:val="20"/>
        </w:rPr>
      </w:pPr>
      <w:r w:rsidRPr="003C2856">
        <w:rPr>
          <w:rFonts w:cstheme="minorHAnsi"/>
          <w:sz w:val="20"/>
          <w:szCs w:val="20"/>
        </w:rPr>
        <w:t>Thanks to virtual sessions</w:t>
      </w:r>
      <w:r w:rsidR="00871450">
        <w:rPr>
          <w:rFonts w:cstheme="minorHAnsi"/>
          <w:sz w:val="20"/>
          <w:szCs w:val="20"/>
        </w:rPr>
        <w:t>,</w:t>
      </w:r>
      <w:r w:rsidRPr="003C2856">
        <w:rPr>
          <w:rFonts w:cstheme="minorHAnsi"/>
          <w:sz w:val="20"/>
          <w:szCs w:val="20"/>
        </w:rPr>
        <w:t xml:space="preserve"> schools </w:t>
      </w:r>
      <w:r w:rsidR="00C278EB" w:rsidRPr="003C2856">
        <w:rPr>
          <w:rFonts w:cstheme="minorHAnsi"/>
          <w:sz w:val="20"/>
          <w:szCs w:val="20"/>
        </w:rPr>
        <w:t xml:space="preserve">can </w:t>
      </w:r>
      <w:r w:rsidRPr="003C2856">
        <w:rPr>
          <w:rFonts w:cstheme="minorHAnsi"/>
          <w:sz w:val="20"/>
          <w:szCs w:val="20"/>
        </w:rPr>
        <w:t>now connect with volunteers</w:t>
      </w:r>
      <w:r w:rsidR="00EF7492" w:rsidRPr="003C2856">
        <w:rPr>
          <w:rFonts w:cstheme="minorHAnsi"/>
          <w:sz w:val="20"/>
          <w:szCs w:val="20"/>
        </w:rPr>
        <w:t xml:space="preserve"> </w:t>
      </w:r>
      <w:r w:rsidRPr="003C2856">
        <w:rPr>
          <w:rFonts w:cstheme="minorHAnsi"/>
          <w:sz w:val="20"/>
          <w:szCs w:val="20"/>
        </w:rPr>
        <w:t xml:space="preserve">from across the country - people from diverse backgrounds (social, ethnic and economic) doing a wide range of jobs. </w:t>
      </w:r>
      <w:r w:rsidR="00EF7492" w:rsidRPr="003C2856">
        <w:rPr>
          <w:rFonts w:cstheme="minorHAnsi"/>
          <w:sz w:val="20"/>
          <w:szCs w:val="20"/>
        </w:rPr>
        <w:t>T</w:t>
      </w:r>
      <w:r w:rsidRPr="003C2856">
        <w:rPr>
          <w:rFonts w:cstheme="minorHAnsi"/>
          <w:sz w:val="20"/>
          <w:szCs w:val="20"/>
        </w:rPr>
        <w:t xml:space="preserve">he new system also benefits employers as employees will be able to take part from home, meaning no time or money </w:t>
      </w:r>
      <w:r w:rsidR="000C5C15">
        <w:rPr>
          <w:rFonts w:cstheme="minorHAnsi"/>
          <w:sz w:val="20"/>
          <w:szCs w:val="20"/>
        </w:rPr>
        <w:t xml:space="preserve">need be </w:t>
      </w:r>
      <w:r w:rsidRPr="003C2856">
        <w:rPr>
          <w:rFonts w:cstheme="minorHAnsi"/>
          <w:sz w:val="20"/>
          <w:szCs w:val="20"/>
        </w:rPr>
        <w:t>spent travelling to the school.</w:t>
      </w:r>
    </w:p>
    <w:p w14:paraId="785B385C" w14:textId="77777777" w:rsidR="00ED698C" w:rsidRDefault="004F05A5" w:rsidP="0009549B">
      <w:pPr>
        <w:spacing w:after="60" w:line="240" w:lineRule="auto"/>
        <w:rPr>
          <w:rFonts w:cstheme="minorHAnsi"/>
          <w:sz w:val="20"/>
          <w:szCs w:val="20"/>
        </w:rPr>
      </w:pPr>
      <w:r w:rsidRPr="003C2856">
        <w:rPr>
          <w:rFonts w:cstheme="minorHAnsi"/>
          <w:sz w:val="20"/>
          <w:szCs w:val="20"/>
        </w:rPr>
        <w:t xml:space="preserve">Potential volunteers can </w:t>
      </w:r>
      <w:hyperlink r:id="rId28" w:history="1">
        <w:r w:rsidRPr="003C2856">
          <w:rPr>
            <w:rStyle w:val="Hyperlink"/>
            <w:rFonts w:cstheme="minorHAnsi"/>
            <w:b/>
            <w:bCs/>
            <w:sz w:val="20"/>
            <w:szCs w:val="20"/>
          </w:rPr>
          <w:t>s</w:t>
        </w:r>
        <w:r w:rsidR="00D3219D" w:rsidRPr="003C2856">
          <w:rPr>
            <w:rStyle w:val="Hyperlink"/>
            <w:rFonts w:cstheme="minorHAnsi"/>
            <w:b/>
            <w:bCs/>
            <w:sz w:val="20"/>
            <w:szCs w:val="20"/>
          </w:rPr>
          <w:t>ign-up here</w:t>
        </w:r>
      </w:hyperlink>
      <w:r w:rsidR="001375DD">
        <w:rPr>
          <w:rFonts w:cstheme="minorHAnsi"/>
          <w:sz w:val="20"/>
          <w:szCs w:val="20"/>
        </w:rPr>
        <w:t xml:space="preserve"> </w:t>
      </w:r>
      <w:r w:rsidR="00D3219D" w:rsidRPr="003C2856">
        <w:rPr>
          <w:rFonts w:cstheme="minorHAnsi"/>
          <w:sz w:val="20"/>
          <w:szCs w:val="20"/>
        </w:rPr>
        <w:t xml:space="preserve">to share </w:t>
      </w:r>
      <w:r w:rsidRPr="003C2856">
        <w:rPr>
          <w:rFonts w:cstheme="minorHAnsi"/>
          <w:sz w:val="20"/>
          <w:szCs w:val="20"/>
        </w:rPr>
        <w:t xml:space="preserve">their </w:t>
      </w:r>
      <w:r w:rsidR="00D3219D" w:rsidRPr="003C2856">
        <w:rPr>
          <w:rFonts w:cstheme="minorHAnsi"/>
          <w:sz w:val="20"/>
          <w:szCs w:val="20"/>
        </w:rPr>
        <w:t>career stor</w:t>
      </w:r>
      <w:r w:rsidRPr="003C2856">
        <w:rPr>
          <w:rFonts w:cstheme="minorHAnsi"/>
          <w:sz w:val="20"/>
          <w:szCs w:val="20"/>
        </w:rPr>
        <w:t>ies</w:t>
      </w:r>
      <w:r w:rsidR="00D3219D" w:rsidRPr="003C2856">
        <w:rPr>
          <w:rFonts w:cstheme="minorHAnsi"/>
          <w:sz w:val="20"/>
          <w:szCs w:val="20"/>
        </w:rPr>
        <w:t xml:space="preserve"> with local schools, volunteer as a school governor, or connect </w:t>
      </w:r>
      <w:r w:rsidR="00524FCC" w:rsidRPr="003C2856">
        <w:rPr>
          <w:rFonts w:cstheme="minorHAnsi"/>
          <w:sz w:val="20"/>
          <w:szCs w:val="20"/>
        </w:rPr>
        <w:t xml:space="preserve">a </w:t>
      </w:r>
      <w:r w:rsidR="00D3219D" w:rsidRPr="003C2856">
        <w:rPr>
          <w:rFonts w:cstheme="minorHAnsi"/>
          <w:sz w:val="20"/>
          <w:szCs w:val="20"/>
        </w:rPr>
        <w:t>school with volunteers from the world of work.</w:t>
      </w:r>
    </w:p>
    <w:p w14:paraId="7F86B8A8" w14:textId="4C8A7FF2" w:rsidR="00BC0207" w:rsidRPr="003C2856" w:rsidRDefault="00BC0207" w:rsidP="0009549B">
      <w:pPr>
        <w:spacing w:after="60" w:line="240" w:lineRule="auto"/>
        <w:rPr>
          <w:rFonts w:cstheme="minorHAnsi"/>
          <w:sz w:val="20"/>
          <w:szCs w:val="20"/>
        </w:rPr>
      </w:pPr>
      <w:bookmarkStart w:id="0" w:name="_GoBack"/>
      <w:bookmarkEnd w:id="0"/>
      <w:r>
        <w:rPr>
          <w:rFonts w:cstheme="minorHAnsi"/>
          <w:sz w:val="20"/>
          <w:szCs w:val="20"/>
        </w:rPr>
        <w:t xml:space="preserve">For more information contact Martin Rogers, Senior Researcher on </w:t>
      </w:r>
      <w:hyperlink r:id="rId29" w:history="1">
        <w:r w:rsidRPr="00644B3D">
          <w:rPr>
            <w:rStyle w:val="Hyperlink"/>
            <w:rFonts w:cstheme="minorHAnsi"/>
            <w:sz w:val="20"/>
            <w:szCs w:val="20"/>
          </w:rPr>
          <w:t>martin.rogers@educationandemployers.org</w:t>
        </w:r>
      </w:hyperlink>
    </w:p>
    <w:sectPr w:rsidR="00BC0207" w:rsidRPr="003C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A4499"/>
    <w:multiLevelType w:val="multilevel"/>
    <w:tmpl w:val="E66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B6283"/>
    <w:multiLevelType w:val="hybridMultilevel"/>
    <w:tmpl w:val="25B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E776E"/>
    <w:multiLevelType w:val="multilevel"/>
    <w:tmpl w:val="237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C"/>
    <w:rsid w:val="0000378A"/>
    <w:rsid w:val="000205EE"/>
    <w:rsid w:val="00023E02"/>
    <w:rsid w:val="0003227F"/>
    <w:rsid w:val="00044035"/>
    <w:rsid w:val="000452A3"/>
    <w:rsid w:val="000537E2"/>
    <w:rsid w:val="00060FFC"/>
    <w:rsid w:val="00071C42"/>
    <w:rsid w:val="000806E8"/>
    <w:rsid w:val="0008405D"/>
    <w:rsid w:val="000869F2"/>
    <w:rsid w:val="00090EBD"/>
    <w:rsid w:val="00093547"/>
    <w:rsid w:val="0009549B"/>
    <w:rsid w:val="000A6F96"/>
    <w:rsid w:val="000B6A1A"/>
    <w:rsid w:val="000C3480"/>
    <w:rsid w:val="000C5C15"/>
    <w:rsid w:val="000D1FFD"/>
    <w:rsid w:val="000F7DA2"/>
    <w:rsid w:val="001200EF"/>
    <w:rsid w:val="00125022"/>
    <w:rsid w:val="00130267"/>
    <w:rsid w:val="001346C8"/>
    <w:rsid w:val="0013555D"/>
    <w:rsid w:val="001375DD"/>
    <w:rsid w:val="00181B7C"/>
    <w:rsid w:val="001A6899"/>
    <w:rsid w:val="001C7F17"/>
    <w:rsid w:val="001D0D05"/>
    <w:rsid w:val="001D75AC"/>
    <w:rsid w:val="001E7B40"/>
    <w:rsid w:val="001F50E8"/>
    <w:rsid w:val="00203AED"/>
    <w:rsid w:val="002109CA"/>
    <w:rsid w:val="00210FA5"/>
    <w:rsid w:val="002242A6"/>
    <w:rsid w:val="00226CB9"/>
    <w:rsid w:val="0023354F"/>
    <w:rsid w:val="00240BC4"/>
    <w:rsid w:val="00245372"/>
    <w:rsid w:val="00263CFA"/>
    <w:rsid w:val="002732A1"/>
    <w:rsid w:val="00273F27"/>
    <w:rsid w:val="0027417F"/>
    <w:rsid w:val="002778B6"/>
    <w:rsid w:val="002A0047"/>
    <w:rsid w:val="002A2589"/>
    <w:rsid w:val="002A486F"/>
    <w:rsid w:val="002B0C45"/>
    <w:rsid w:val="002B6A92"/>
    <w:rsid w:val="002B7D07"/>
    <w:rsid w:val="002C6E8F"/>
    <w:rsid w:val="002D030D"/>
    <w:rsid w:val="002F1CDD"/>
    <w:rsid w:val="002F4F9E"/>
    <w:rsid w:val="002F6014"/>
    <w:rsid w:val="002F6E95"/>
    <w:rsid w:val="00302203"/>
    <w:rsid w:val="0030299A"/>
    <w:rsid w:val="00312F79"/>
    <w:rsid w:val="0032022C"/>
    <w:rsid w:val="00331632"/>
    <w:rsid w:val="00341FE5"/>
    <w:rsid w:val="003459DD"/>
    <w:rsid w:val="00347549"/>
    <w:rsid w:val="00356870"/>
    <w:rsid w:val="00367038"/>
    <w:rsid w:val="00373E76"/>
    <w:rsid w:val="003A0A9C"/>
    <w:rsid w:val="003A19FC"/>
    <w:rsid w:val="003C2856"/>
    <w:rsid w:val="003C333C"/>
    <w:rsid w:val="003C5A00"/>
    <w:rsid w:val="003D4091"/>
    <w:rsid w:val="003E04D8"/>
    <w:rsid w:val="003E3301"/>
    <w:rsid w:val="003E3BCC"/>
    <w:rsid w:val="003F29B8"/>
    <w:rsid w:val="00400914"/>
    <w:rsid w:val="004044BC"/>
    <w:rsid w:val="00414134"/>
    <w:rsid w:val="004205DC"/>
    <w:rsid w:val="00422706"/>
    <w:rsid w:val="00424F17"/>
    <w:rsid w:val="00432C01"/>
    <w:rsid w:val="004333FA"/>
    <w:rsid w:val="00437C00"/>
    <w:rsid w:val="00441DE3"/>
    <w:rsid w:val="004428D2"/>
    <w:rsid w:val="00451EF0"/>
    <w:rsid w:val="00460359"/>
    <w:rsid w:val="004714CF"/>
    <w:rsid w:val="00484AFD"/>
    <w:rsid w:val="00494DF9"/>
    <w:rsid w:val="004961B9"/>
    <w:rsid w:val="004B21B5"/>
    <w:rsid w:val="004C14EA"/>
    <w:rsid w:val="004D226B"/>
    <w:rsid w:val="004D7D58"/>
    <w:rsid w:val="004E0C7E"/>
    <w:rsid w:val="004E2754"/>
    <w:rsid w:val="004E4101"/>
    <w:rsid w:val="004F044F"/>
    <w:rsid w:val="004F05A5"/>
    <w:rsid w:val="00500E76"/>
    <w:rsid w:val="005045DE"/>
    <w:rsid w:val="00510842"/>
    <w:rsid w:val="0051507D"/>
    <w:rsid w:val="00515EAD"/>
    <w:rsid w:val="00517DF9"/>
    <w:rsid w:val="00520F47"/>
    <w:rsid w:val="00521261"/>
    <w:rsid w:val="00524FCC"/>
    <w:rsid w:val="005353FA"/>
    <w:rsid w:val="00554A1D"/>
    <w:rsid w:val="00554B8E"/>
    <w:rsid w:val="00564690"/>
    <w:rsid w:val="0056692C"/>
    <w:rsid w:val="0057302F"/>
    <w:rsid w:val="00586630"/>
    <w:rsid w:val="005B1A2D"/>
    <w:rsid w:val="005C0690"/>
    <w:rsid w:val="005C6741"/>
    <w:rsid w:val="005C6DED"/>
    <w:rsid w:val="005D7178"/>
    <w:rsid w:val="005E3F48"/>
    <w:rsid w:val="005F732A"/>
    <w:rsid w:val="00600FE2"/>
    <w:rsid w:val="0061250A"/>
    <w:rsid w:val="0061764A"/>
    <w:rsid w:val="006201EF"/>
    <w:rsid w:val="00626385"/>
    <w:rsid w:val="006336AC"/>
    <w:rsid w:val="0063439F"/>
    <w:rsid w:val="00652AD4"/>
    <w:rsid w:val="00666722"/>
    <w:rsid w:val="00680836"/>
    <w:rsid w:val="006846B0"/>
    <w:rsid w:val="006943A1"/>
    <w:rsid w:val="006960B3"/>
    <w:rsid w:val="006A40D3"/>
    <w:rsid w:val="006B0675"/>
    <w:rsid w:val="006B705F"/>
    <w:rsid w:val="006C17FB"/>
    <w:rsid w:val="006C20A4"/>
    <w:rsid w:val="006C5945"/>
    <w:rsid w:val="006C6F9A"/>
    <w:rsid w:val="006D183D"/>
    <w:rsid w:val="006D4F96"/>
    <w:rsid w:val="006E5BC3"/>
    <w:rsid w:val="006F380E"/>
    <w:rsid w:val="00703A28"/>
    <w:rsid w:val="00704AA9"/>
    <w:rsid w:val="00711279"/>
    <w:rsid w:val="0073707F"/>
    <w:rsid w:val="007472D3"/>
    <w:rsid w:val="00752683"/>
    <w:rsid w:val="007545B9"/>
    <w:rsid w:val="00754DE3"/>
    <w:rsid w:val="00755613"/>
    <w:rsid w:val="00760B22"/>
    <w:rsid w:val="007649E4"/>
    <w:rsid w:val="0076529E"/>
    <w:rsid w:val="007662A6"/>
    <w:rsid w:val="00771731"/>
    <w:rsid w:val="007833DB"/>
    <w:rsid w:val="00786889"/>
    <w:rsid w:val="007872F2"/>
    <w:rsid w:val="007A4838"/>
    <w:rsid w:val="007B0142"/>
    <w:rsid w:val="007B202A"/>
    <w:rsid w:val="007B22DA"/>
    <w:rsid w:val="007B777E"/>
    <w:rsid w:val="007C2485"/>
    <w:rsid w:val="007C5CCD"/>
    <w:rsid w:val="007E2B40"/>
    <w:rsid w:val="007E70D1"/>
    <w:rsid w:val="007E74C5"/>
    <w:rsid w:val="007F47A7"/>
    <w:rsid w:val="008004EE"/>
    <w:rsid w:val="0080155A"/>
    <w:rsid w:val="00813733"/>
    <w:rsid w:val="00815945"/>
    <w:rsid w:val="008159A8"/>
    <w:rsid w:val="008202CD"/>
    <w:rsid w:val="00826007"/>
    <w:rsid w:val="00826AA6"/>
    <w:rsid w:val="00830ADB"/>
    <w:rsid w:val="00831E76"/>
    <w:rsid w:val="00836E7B"/>
    <w:rsid w:val="008444CB"/>
    <w:rsid w:val="00853B2E"/>
    <w:rsid w:val="00856E6E"/>
    <w:rsid w:val="00861FD8"/>
    <w:rsid w:val="00871450"/>
    <w:rsid w:val="0087343E"/>
    <w:rsid w:val="00873798"/>
    <w:rsid w:val="00876511"/>
    <w:rsid w:val="0087677C"/>
    <w:rsid w:val="008804C4"/>
    <w:rsid w:val="00884A5D"/>
    <w:rsid w:val="008874D7"/>
    <w:rsid w:val="0089666F"/>
    <w:rsid w:val="008A2889"/>
    <w:rsid w:val="008A330C"/>
    <w:rsid w:val="008A6340"/>
    <w:rsid w:val="008A6E29"/>
    <w:rsid w:val="008C0925"/>
    <w:rsid w:val="008C0B8A"/>
    <w:rsid w:val="008D31FD"/>
    <w:rsid w:val="008D3CAB"/>
    <w:rsid w:val="008F4A37"/>
    <w:rsid w:val="009072C0"/>
    <w:rsid w:val="0090773E"/>
    <w:rsid w:val="009163FA"/>
    <w:rsid w:val="009257E7"/>
    <w:rsid w:val="00936906"/>
    <w:rsid w:val="00944522"/>
    <w:rsid w:val="009471E6"/>
    <w:rsid w:val="009534EF"/>
    <w:rsid w:val="0096690A"/>
    <w:rsid w:val="0097542C"/>
    <w:rsid w:val="00994770"/>
    <w:rsid w:val="009A08C2"/>
    <w:rsid w:val="009A3876"/>
    <w:rsid w:val="009B01C3"/>
    <w:rsid w:val="009B1005"/>
    <w:rsid w:val="009B68CF"/>
    <w:rsid w:val="009C5502"/>
    <w:rsid w:val="009D634C"/>
    <w:rsid w:val="009E1D24"/>
    <w:rsid w:val="009E32A3"/>
    <w:rsid w:val="009E5936"/>
    <w:rsid w:val="00A225F2"/>
    <w:rsid w:val="00A2675F"/>
    <w:rsid w:val="00A317B2"/>
    <w:rsid w:val="00A475EC"/>
    <w:rsid w:val="00A50F7C"/>
    <w:rsid w:val="00A52723"/>
    <w:rsid w:val="00A70DAF"/>
    <w:rsid w:val="00A72489"/>
    <w:rsid w:val="00A83D45"/>
    <w:rsid w:val="00A83E1E"/>
    <w:rsid w:val="00A83F6E"/>
    <w:rsid w:val="00A913A7"/>
    <w:rsid w:val="00AA1315"/>
    <w:rsid w:val="00AA2DFA"/>
    <w:rsid w:val="00AB7A60"/>
    <w:rsid w:val="00AC6B03"/>
    <w:rsid w:val="00AD2EE5"/>
    <w:rsid w:val="00AD768E"/>
    <w:rsid w:val="00AE12E5"/>
    <w:rsid w:val="00AF571E"/>
    <w:rsid w:val="00B158CC"/>
    <w:rsid w:val="00B2340E"/>
    <w:rsid w:val="00B42614"/>
    <w:rsid w:val="00B449AF"/>
    <w:rsid w:val="00B5488B"/>
    <w:rsid w:val="00B65004"/>
    <w:rsid w:val="00B66E52"/>
    <w:rsid w:val="00B72FD6"/>
    <w:rsid w:val="00B77DC8"/>
    <w:rsid w:val="00B9625E"/>
    <w:rsid w:val="00BA5321"/>
    <w:rsid w:val="00BB5129"/>
    <w:rsid w:val="00BC0207"/>
    <w:rsid w:val="00BC3861"/>
    <w:rsid w:val="00BF42C1"/>
    <w:rsid w:val="00BF5840"/>
    <w:rsid w:val="00C00ADF"/>
    <w:rsid w:val="00C015AD"/>
    <w:rsid w:val="00C1028B"/>
    <w:rsid w:val="00C278EB"/>
    <w:rsid w:val="00C50395"/>
    <w:rsid w:val="00C5358C"/>
    <w:rsid w:val="00C53FE8"/>
    <w:rsid w:val="00C550FF"/>
    <w:rsid w:val="00C75C50"/>
    <w:rsid w:val="00C83280"/>
    <w:rsid w:val="00CA3D9B"/>
    <w:rsid w:val="00CB5399"/>
    <w:rsid w:val="00CC5540"/>
    <w:rsid w:val="00CC6CD6"/>
    <w:rsid w:val="00CC72F1"/>
    <w:rsid w:val="00CD0F24"/>
    <w:rsid w:val="00D01448"/>
    <w:rsid w:val="00D118AB"/>
    <w:rsid w:val="00D1514E"/>
    <w:rsid w:val="00D3219D"/>
    <w:rsid w:val="00D37482"/>
    <w:rsid w:val="00D40780"/>
    <w:rsid w:val="00D468B2"/>
    <w:rsid w:val="00D51D20"/>
    <w:rsid w:val="00D624B0"/>
    <w:rsid w:val="00D71325"/>
    <w:rsid w:val="00D8278B"/>
    <w:rsid w:val="00DA2046"/>
    <w:rsid w:val="00DA484B"/>
    <w:rsid w:val="00DB0262"/>
    <w:rsid w:val="00DB498F"/>
    <w:rsid w:val="00DB5753"/>
    <w:rsid w:val="00DC67F7"/>
    <w:rsid w:val="00DC68D3"/>
    <w:rsid w:val="00DD57F5"/>
    <w:rsid w:val="00DE30E3"/>
    <w:rsid w:val="00DE5CA4"/>
    <w:rsid w:val="00DF1720"/>
    <w:rsid w:val="00DF7115"/>
    <w:rsid w:val="00E005A6"/>
    <w:rsid w:val="00E27532"/>
    <w:rsid w:val="00E405AB"/>
    <w:rsid w:val="00E419EC"/>
    <w:rsid w:val="00E52176"/>
    <w:rsid w:val="00E535DD"/>
    <w:rsid w:val="00E55A25"/>
    <w:rsid w:val="00E72DC1"/>
    <w:rsid w:val="00E74273"/>
    <w:rsid w:val="00E87264"/>
    <w:rsid w:val="00E87964"/>
    <w:rsid w:val="00E90800"/>
    <w:rsid w:val="00E91116"/>
    <w:rsid w:val="00EB4003"/>
    <w:rsid w:val="00EB7A5E"/>
    <w:rsid w:val="00EC13E9"/>
    <w:rsid w:val="00EC4C6B"/>
    <w:rsid w:val="00ED698C"/>
    <w:rsid w:val="00EE2B00"/>
    <w:rsid w:val="00EE6C88"/>
    <w:rsid w:val="00EF05D9"/>
    <w:rsid w:val="00EF25F5"/>
    <w:rsid w:val="00EF55B4"/>
    <w:rsid w:val="00EF7492"/>
    <w:rsid w:val="00EF7C03"/>
    <w:rsid w:val="00EF7CA3"/>
    <w:rsid w:val="00F04377"/>
    <w:rsid w:val="00F12EFD"/>
    <w:rsid w:val="00F17285"/>
    <w:rsid w:val="00F263F6"/>
    <w:rsid w:val="00F36FDC"/>
    <w:rsid w:val="00F429FF"/>
    <w:rsid w:val="00F50294"/>
    <w:rsid w:val="00F52A08"/>
    <w:rsid w:val="00F56623"/>
    <w:rsid w:val="00F60E16"/>
    <w:rsid w:val="00F707CE"/>
    <w:rsid w:val="00F74FF9"/>
    <w:rsid w:val="00F76366"/>
    <w:rsid w:val="00F80428"/>
    <w:rsid w:val="00F878D5"/>
    <w:rsid w:val="00F95525"/>
    <w:rsid w:val="00FA046A"/>
    <w:rsid w:val="00FA1E1F"/>
    <w:rsid w:val="00FA4FCF"/>
    <w:rsid w:val="00FB1170"/>
    <w:rsid w:val="00FB15C5"/>
    <w:rsid w:val="00FD6A4F"/>
    <w:rsid w:val="00FE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4BAE"/>
  <w15:chartTrackingRefBased/>
  <w15:docId w15:val="{B64CD80E-6655-46AC-82D1-73AF664E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3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19D"/>
    <w:rPr>
      <w:color w:val="0563C1" w:themeColor="hyperlink"/>
      <w:u w:val="single"/>
    </w:rPr>
  </w:style>
  <w:style w:type="character" w:styleId="UnresolvedMention">
    <w:name w:val="Unresolved Mention"/>
    <w:basedOn w:val="DefaultParagraphFont"/>
    <w:uiPriority w:val="99"/>
    <w:semiHidden/>
    <w:unhideWhenUsed/>
    <w:rsid w:val="00D3219D"/>
    <w:rPr>
      <w:color w:val="605E5C"/>
      <w:shd w:val="clear" w:color="auto" w:fill="E1DFDD"/>
    </w:rPr>
  </w:style>
  <w:style w:type="paragraph" w:styleId="ListParagraph">
    <w:name w:val="List Paragraph"/>
    <w:basedOn w:val="Normal"/>
    <w:uiPriority w:val="34"/>
    <w:qFormat/>
    <w:rsid w:val="00367038"/>
    <w:pPr>
      <w:ind w:left="720"/>
      <w:contextualSpacing/>
    </w:pPr>
  </w:style>
  <w:style w:type="character" w:styleId="CommentReference">
    <w:name w:val="annotation reference"/>
    <w:basedOn w:val="DefaultParagraphFont"/>
    <w:uiPriority w:val="99"/>
    <w:semiHidden/>
    <w:unhideWhenUsed/>
    <w:rsid w:val="0023354F"/>
    <w:rPr>
      <w:sz w:val="16"/>
      <w:szCs w:val="16"/>
    </w:rPr>
  </w:style>
  <w:style w:type="paragraph" w:styleId="CommentText">
    <w:name w:val="annotation text"/>
    <w:basedOn w:val="Normal"/>
    <w:link w:val="CommentTextChar"/>
    <w:uiPriority w:val="99"/>
    <w:semiHidden/>
    <w:unhideWhenUsed/>
    <w:rsid w:val="0023354F"/>
    <w:pPr>
      <w:spacing w:line="240" w:lineRule="auto"/>
    </w:pPr>
    <w:rPr>
      <w:sz w:val="20"/>
      <w:szCs w:val="20"/>
    </w:rPr>
  </w:style>
  <w:style w:type="character" w:customStyle="1" w:styleId="CommentTextChar">
    <w:name w:val="Comment Text Char"/>
    <w:basedOn w:val="DefaultParagraphFont"/>
    <w:link w:val="CommentText"/>
    <w:uiPriority w:val="99"/>
    <w:semiHidden/>
    <w:rsid w:val="0023354F"/>
    <w:rPr>
      <w:sz w:val="20"/>
      <w:szCs w:val="20"/>
    </w:rPr>
  </w:style>
  <w:style w:type="paragraph" w:styleId="CommentSubject">
    <w:name w:val="annotation subject"/>
    <w:basedOn w:val="CommentText"/>
    <w:next w:val="CommentText"/>
    <w:link w:val="CommentSubjectChar"/>
    <w:uiPriority w:val="99"/>
    <w:semiHidden/>
    <w:unhideWhenUsed/>
    <w:rsid w:val="0023354F"/>
    <w:rPr>
      <w:b/>
      <w:bCs/>
    </w:rPr>
  </w:style>
  <w:style w:type="character" w:customStyle="1" w:styleId="CommentSubjectChar">
    <w:name w:val="Comment Subject Char"/>
    <w:basedOn w:val="CommentTextChar"/>
    <w:link w:val="CommentSubject"/>
    <w:uiPriority w:val="99"/>
    <w:semiHidden/>
    <w:rsid w:val="0023354F"/>
    <w:rPr>
      <w:b/>
      <w:bCs/>
      <w:sz w:val="20"/>
      <w:szCs w:val="20"/>
    </w:rPr>
  </w:style>
  <w:style w:type="paragraph" w:styleId="BalloonText">
    <w:name w:val="Balloon Text"/>
    <w:basedOn w:val="Normal"/>
    <w:link w:val="BalloonTextChar"/>
    <w:uiPriority w:val="99"/>
    <w:semiHidden/>
    <w:unhideWhenUsed/>
    <w:rsid w:val="0023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54F"/>
    <w:rPr>
      <w:rFonts w:ascii="Segoe UI" w:hAnsi="Segoe UI" w:cs="Segoe UI"/>
      <w:sz w:val="18"/>
      <w:szCs w:val="18"/>
    </w:rPr>
  </w:style>
  <w:style w:type="character" w:customStyle="1" w:styleId="Heading1Char">
    <w:name w:val="Heading 1 Char"/>
    <w:basedOn w:val="DefaultParagraphFont"/>
    <w:link w:val="Heading1"/>
    <w:uiPriority w:val="9"/>
    <w:rsid w:val="004333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33F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C6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828">
      <w:bodyDiv w:val="1"/>
      <w:marLeft w:val="0"/>
      <w:marRight w:val="0"/>
      <w:marTop w:val="0"/>
      <w:marBottom w:val="0"/>
      <w:divBdr>
        <w:top w:val="none" w:sz="0" w:space="0" w:color="auto"/>
        <w:left w:val="none" w:sz="0" w:space="0" w:color="auto"/>
        <w:bottom w:val="none" w:sz="0" w:space="0" w:color="auto"/>
        <w:right w:val="none" w:sz="0" w:space="0" w:color="auto"/>
      </w:divBdr>
    </w:div>
    <w:div w:id="225534678">
      <w:bodyDiv w:val="1"/>
      <w:marLeft w:val="0"/>
      <w:marRight w:val="0"/>
      <w:marTop w:val="0"/>
      <w:marBottom w:val="0"/>
      <w:divBdr>
        <w:top w:val="none" w:sz="0" w:space="0" w:color="auto"/>
        <w:left w:val="none" w:sz="0" w:space="0" w:color="auto"/>
        <w:bottom w:val="none" w:sz="0" w:space="0" w:color="auto"/>
        <w:right w:val="none" w:sz="0" w:space="0" w:color="auto"/>
      </w:divBdr>
    </w:div>
    <w:div w:id="611479845">
      <w:bodyDiv w:val="1"/>
      <w:marLeft w:val="0"/>
      <w:marRight w:val="0"/>
      <w:marTop w:val="0"/>
      <w:marBottom w:val="0"/>
      <w:divBdr>
        <w:top w:val="none" w:sz="0" w:space="0" w:color="auto"/>
        <w:left w:val="none" w:sz="0" w:space="0" w:color="auto"/>
        <w:bottom w:val="none" w:sz="0" w:space="0" w:color="auto"/>
        <w:right w:val="none" w:sz="0" w:space="0" w:color="auto"/>
      </w:divBdr>
    </w:div>
    <w:div w:id="801536623">
      <w:bodyDiv w:val="1"/>
      <w:marLeft w:val="0"/>
      <w:marRight w:val="0"/>
      <w:marTop w:val="0"/>
      <w:marBottom w:val="0"/>
      <w:divBdr>
        <w:top w:val="none" w:sz="0" w:space="0" w:color="auto"/>
        <w:left w:val="none" w:sz="0" w:space="0" w:color="auto"/>
        <w:bottom w:val="none" w:sz="0" w:space="0" w:color="auto"/>
        <w:right w:val="none" w:sz="0" w:space="0" w:color="auto"/>
      </w:divBdr>
    </w:div>
    <w:div w:id="1099836150">
      <w:bodyDiv w:val="1"/>
      <w:marLeft w:val="0"/>
      <w:marRight w:val="0"/>
      <w:marTop w:val="0"/>
      <w:marBottom w:val="0"/>
      <w:divBdr>
        <w:top w:val="none" w:sz="0" w:space="0" w:color="auto"/>
        <w:left w:val="none" w:sz="0" w:space="0" w:color="auto"/>
        <w:bottom w:val="none" w:sz="0" w:space="0" w:color="auto"/>
        <w:right w:val="none" w:sz="0" w:space="0" w:color="auto"/>
      </w:divBdr>
    </w:div>
    <w:div w:id="1403873509">
      <w:bodyDiv w:val="1"/>
      <w:marLeft w:val="0"/>
      <w:marRight w:val="0"/>
      <w:marTop w:val="0"/>
      <w:marBottom w:val="0"/>
      <w:divBdr>
        <w:top w:val="none" w:sz="0" w:space="0" w:color="auto"/>
        <w:left w:val="none" w:sz="0" w:space="0" w:color="auto"/>
        <w:bottom w:val="none" w:sz="0" w:space="0" w:color="auto"/>
        <w:right w:val="none" w:sz="0" w:space="0" w:color="auto"/>
      </w:divBdr>
    </w:div>
    <w:div w:id="1692150533">
      <w:bodyDiv w:val="1"/>
      <w:marLeft w:val="0"/>
      <w:marRight w:val="0"/>
      <w:marTop w:val="0"/>
      <w:marBottom w:val="0"/>
      <w:divBdr>
        <w:top w:val="none" w:sz="0" w:space="0" w:color="auto"/>
        <w:left w:val="none" w:sz="0" w:space="0" w:color="auto"/>
        <w:bottom w:val="none" w:sz="0" w:space="0" w:color="auto"/>
        <w:right w:val="none" w:sz="0" w:space="0" w:color="auto"/>
      </w:divBdr>
    </w:div>
    <w:div w:id="1872499809">
      <w:bodyDiv w:val="1"/>
      <w:marLeft w:val="0"/>
      <w:marRight w:val="0"/>
      <w:marTop w:val="0"/>
      <w:marBottom w:val="0"/>
      <w:divBdr>
        <w:top w:val="none" w:sz="0" w:space="0" w:color="auto"/>
        <w:left w:val="none" w:sz="0" w:space="0" w:color="auto"/>
        <w:bottom w:val="none" w:sz="0" w:space="0" w:color="auto"/>
        <w:right w:val="none" w:sz="0" w:space="0" w:color="auto"/>
      </w:divBdr>
    </w:div>
    <w:div w:id="1876117780">
      <w:bodyDiv w:val="1"/>
      <w:marLeft w:val="0"/>
      <w:marRight w:val="0"/>
      <w:marTop w:val="0"/>
      <w:marBottom w:val="0"/>
      <w:divBdr>
        <w:top w:val="none" w:sz="0" w:space="0" w:color="auto"/>
        <w:left w:val="none" w:sz="0" w:space="0" w:color="auto"/>
        <w:bottom w:val="none" w:sz="0" w:space="0" w:color="auto"/>
        <w:right w:val="none" w:sz="0" w:space="0" w:color="auto"/>
      </w:divBdr>
    </w:div>
    <w:div w:id="1975476508">
      <w:bodyDiv w:val="1"/>
      <w:marLeft w:val="0"/>
      <w:marRight w:val="0"/>
      <w:marTop w:val="0"/>
      <w:marBottom w:val="0"/>
      <w:divBdr>
        <w:top w:val="none" w:sz="0" w:space="0" w:color="auto"/>
        <w:left w:val="none" w:sz="0" w:space="0" w:color="auto"/>
        <w:bottom w:val="none" w:sz="0" w:space="0" w:color="auto"/>
        <w:right w:val="none" w:sz="0" w:space="0" w:color="auto"/>
      </w:divBdr>
    </w:div>
    <w:div w:id="20095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andemployers.org/research-main/key-findings-from-our-research/" TargetMode="External"/><Relationship Id="rId13" Type="http://schemas.openxmlformats.org/officeDocument/2006/relationships/hyperlink" Target="https://www.fenews.co.uk/featured-article/49906-the-government-must-act-to-improve-social-mobility-for-apprentices?utm_source=FE+News&amp;utm_campaign=433a50b0eb-EMAIL_CAMPAIGN_2020_06_26_08_20&amp;utm_medium=email&amp;utm_term=0_a588419e08-433a50b0eb-375854702" TargetMode="External"/><Relationship Id="rId18" Type="http://schemas.openxmlformats.org/officeDocument/2006/relationships/hyperlink" Target="https://www.educationandemployers.org/research/the-challenges-facing-young-women-in-apprenticeships/" TargetMode="External"/><Relationship Id="rId26" Type="http://schemas.openxmlformats.org/officeDocument/2006/relationships/hyperlink" Target="https://primaryfutures.org/" TargetMode="External"/><Relationship Id="rId3" Type="http://schemas.openxmlformats.org/officeDocument/2006/relationships/customXml" Target="../customXml/item3.xml"/><Relationship Id="rId21" Type="http://schemas.openxmlformats.org/officeDocument/2006/relationships/hyperlink" Target="https://www.educationandemployers.org/wp-content/uploads/2014/06/closing_the_gap__how_employers_can_change_the_way_young_people_see_apprenticeships_.pdf" TargetMode="External"/><Relationship Id="rId7" Type="http://schemas.openxmlformats.org/officeDocument/2006/relationships/webSettings" Target="webSettings.xml"/><Relationship Id="rId12" Type="http://schemas.openxmlformats.org/officeDocument/2006/relationships/hyperlink" Target="https://feweek.co.uk/wp-content/uploads/2020/06/Apprenticeships_and_social_mobility_report_FINAL_proofed_22.06.20.pdf" TargetMode="External"/><Relationship Id="rId17" Type="http://schemas.openxmlformats.org/officeDocument/2006/relationships/hyperlink" Target="https://www.educationandemployers.org/wp-content/uploads/2014/06/closing_the_gap__how_employers_can_change_the_way_young_people_see_apprenticeships_.pdf" TargetMode="External"/><Relationship Id="rId25" Type="http://schemas.openxmlformats.org/officeDocument/2006/relationships/hyperlink" Target="https://www.inspiringthefuture.org/" TargetMode="External"/><Relationship Id="rId2" Type="http://schemas.openxmlformats.org/officeDocument/2006/relationships/customXml" Target="../customXml/item2.xml"/><Relationship Id="rId16" Type="http://schemas.openxmlformats.org/officeDocument/2006/relationships/hyperlink" Target="https://www.educationandemployers.org/research/primary-futures-connecting-life-and-learning-in-uk-primary-education/" TargetMode="External"/><Relationship Id="rId20" Type="http://schemas.openxmlformats.org/officeDocument/2006/relationships/hyperlink" Target="https://www.educationandemployers.org/research/what-german-schools-do-to-engage-employers-in-education/" TargetMode="External"/><Relationship Id="rId29" Type="http://schemas.openxmlformats.org/officeDocument/2006/relationships/hyperlink" Target="mailto:martin.rogers@educationandemployer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andemployers.org/research/disconnected-report/" TargetMode="External"/><Relationship Id="rId24" Type="http://schemas.openxmlformats.org/officeDocument/2006/relationships/hyperlink" Target="https://www.educationandemployers.org/research/teenage-apprenticeships/" TargetMode="External"/><Relationship Id="rId5" Type="http://schemas.openxmlformats.org/officeDocument/2006/relationships/styles" Target="styles.xml"/><Relationship Id="rId15" Type="http://schemas.openxmlformats.org/officeDocument/2006/relationships/hyperlink" Target="https://www.educationandemployers.org/research/what-works-primary/" TargetMode="External"/><Relationship Id="rId23" Type="http://schemas.openxmlformats.org/officeDocument/2006/relationships/hyperlink" Target="https://www.educationandemployers.org/research/teenage-apprenticeships/" TargetMode="External"/><Relationship Id="rId28" Type="http://schemas.openxmlformats.org/officeDocument/2006/relationships/hyperlink" Target="https://sforce.co/2VCNglq" TargetMode="External"/><Relationship Id="rId10" Type="http://schemas.openxmlformats.org/officeDocument/2006/relationships/hyperlink" Target="https://www.educationandemployers.org/research/disconnected-report/" TargetMode="External"/><Relationship Id="rId19" Type="http://schemas.openxmlformats.org/officeDocument/2006/relationships/hyperlink" Target="https://www.educationandemployers.org/research-main/key-findings-from-our-research/"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ducationandemployers.org/research/drawing-the-future/" TargetMode="External"/><Relationship Id="rId14" Type="http://schemas.openxmlformats.org/officeDocument/2006/relationships/hyperlink" Target="https://www.educationandemployers.org/wp-content/uploads/2018/03/CET-Apprenticeship-Report-FINAL-1a.pdf" TargetMode="External"/><Relationship Id="rId22" Type="http://schemas.openxmlformats.org/officeDocument/2006/relationships/hyperlink" Target="https://www.educationandemployers.org/wp-content/uploads/2014/06/closing_the_gap__how_employers_can_change_the_way_young_people_see_apprenticeships_.pdf" TargetMode="External"/><Relationship Id="rId27" Type="http://schemas.openxmlformats.org/officeDocument/2006/relationships/hyperlink" Target="http://www.inspiringthefuture.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_x0020_SF xmlns="267bdb2b-39b6-4027-ad89-65b2e061d317">true</ON_x0020_SF>
    <Project_x0020_ xmlns="267bdb2b-39b6-4027-ad89-65b2e061d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6A839B37A66A438CDCC08FDEDE68B8" ma:contentTypeVersion="14" ma:contentTypeDescription="Create a new document." ma:contentTypeScope="" ma:versionID="9d1065ae91a956875cef0ccfe25930b7">
  <xsd:schema xmlns:xsd="http://www.w3.org/2001/XMLSchema" xmlns:xs="http://www.w3.org/2001/XMLSchema" xmlns:p="http://schemas.microsoft.com/office/2006/metadata/properties" xmlns:ns2="3fa1baeb-fdd9-4ef4-bd3d-073d677e6297" xmlns:ns3="267bdb2b-39b6-4027-ad89-65b2e061d317" targetNamespace="http://schemas.microsoft.com/office/2006/metadata/properties" ma:root="true" ma:fieldsID="a3e5902200c0f1d0f691421eb85bff67" ns2:_="" ns3:_="">
    <xsd:import namespace="3fa1baeb-fdd9-4ef4-bd3d-073d677e6297"/>
    <xsd:import namespace="267bdb2b-39b6-4027-ad89-65b2e061d3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ON_x0020_SF" minOccurs="0"/>
                <xsd:element ref="ns3:MediaServiceEventHashCode" minOccurs="0"/>
                <xsd:element ref="ns3:MediaServiceGenerationTime" minOccurs="0"/>
                <xsd:element ref="ns3:Project_x0020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1baeb-fdd9-4ef4-bd3d-073d677e6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bdb2b-39b6-4027-ad89-65b2e061d3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ON_x0020_SF" ma:index="16" nillable="true" ma:displayName="ON SF" ma:default="1" ma:internalName="ON_x0020_SF">
      <xsd:simpleType>
        <xsd:restriction base="dms:Boolea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Project_x0020_" ma:index="19" nillable="true" ma:displayName="Project " ma:description="Possible funder" ma:format="Dropdown" ma:internalName="Project_x0020_">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72751-9A88-474F-AD0E-FFE6798C828C}">
  <ds:schemaRefs>
    <ds:schemaRef ds:uri="http://schemas.microsoft.com/sharepoint/v3/contenttype/forms"/>
  </ds:schemaRefs>
</ds:datastoreItem>
</file>

<file path=customXml/itemProps2.xml><?xml version="1.0" encoding="utf-8"?>
<ds:datastoreItem xmlns:ds="http://schemas.openxmlformats.org/officeDocument/2006/customXml" ds:itemID="{F97DBCC4-A3D5-4E41-8F1B-5925DDE2F5AD}">
  <ds:schemaRefs>
    <ds:schemaRef ds:uri="http://schemas.microsoft.com/office/2006/metadata/properties"/>
    <ds:schemaRef ds:uri="http://schemas.microsoft.com/office/infopath/2007/PartnerControls"/>
    <ds:schemaRef ds:uri="267bdb2b-39b6-4027-ad89-65b2e061d317"/>
  </ds:schemaRefs>
</ds:datastoreItem>
</file>

<file path=customXml/itemProps3.xml><?xml version="1.0" encoding="utf-8"?>
<ds:datastoreItem xmlns:ds="http://schemas.openxmlformats.org/officeDocument/2006/customXml" ds:itemID="{853D6965-0C3B-4D3C-A75C-742E667F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1baeb-fdd9-4ef4-bd3d-073d677e6297"/>
    <ds:schemaRef ds:uri="267bdb2b-39b6-4027-ad89-65b2e061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Rogers</dc:creator>
  <cp:keywords/>
  <dc:description/>
  <cp:lastModifiedBy>Martin Rogers</cp:lastModifiedBy>
  <cp:revision>29</cp:revision>
  <dcterms:created xsi:type="dcterms:W3CDTF">2020-07-07T09:17:00Z</dcterms:created>
  <dcterms:modified xsi:type="dcterms:W3CDTF">2020-07-07T11:29:00Z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0x010100A06A839B37A66A438CDCC08FDEDE68B8</vt:lpwstr>
  </property>
</Properties>
</file>